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3A66EB" w14:paraId="7AE12B52" w14:textId="77777777" w:rsidTr="0083191F">
        <w:trPr>
          <w:trHeight w:val="851"/>
        </w:trPr>
        <w:tc>
          <w:tcPr>
            <w:tcW w:w="1259" w:type="dxa"/>
            <w:tcBorders>
              <w:top w:val="nil"/>
              <w:left w:val="nil"/>
              <w:bottom w:val="single" w:sz="4" w:space="0" w:color="auto"/>
              <w:right w:val="nil"/>
            </w:tcBorders>
          </w:tcPr>
          <w:p w14:paraId="4443301E" w14:textId="77777777" w:rsidR="00EC2011" w:rsidRPr="003A66EB" w:rsidRDefault="00EC2011" w:rsidP="0083191F">
            <w:pPr>
              <w:pStyle w:val="SingleTxtG"/>
            </w:pPr>
          </w:p>
        </w:tc>
        <w:tc>
          <w:tcPr>
            <w:tcW w:w="2236" w:type="dxa"/>
            <w:tcBorders>
              <w:top w:val="nil"/>
              <w:left w:val="nil"/>
              <w:bottom w:val="single" w:sz="4" w:space="0" w:color="auto"/>
              <w:right w:val="nil"/>
            </w:tcBorders>
            <w:vAlign w:val="bottom"/>
          </w:tcPr>
          <w:p w14:paraId="6099BD0C" w14:textId="089580FF" w:rsidR="00EC2011" w:rsidRPr="003A66EB" w:rsidRDefault="00EC2011" w:rsidP="0083191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4F66083" w14:textId="12E48E0A" w:rsidR="00EC2011" w:rsidRPr="003A66EB" w:rsidRDefault="00D14925" w:rsidP="008B6142">
            <w:pPr>
              <w:suppressAutoHyphens w:val="0"/>
              <w:spacing w:after="20"/>
              <w:jc w:val="right"/>
            </w:pPr>
            <w:r w:rsidRPr="009300AE">
              <w:rPr>
                <w:sz w:val="40"/>
              </w:rPr>
              <w:t>A</w:t>
            </w:r>
            <w:r w:rsidR="00002691">
              <w:t>/</w:t>
            </w:r>
            <w:r w:rsidR="00002691" w:rsidRPr="00002691">
              <w:t>77/3229</w:t>
            </w:r>
          </w:p>
        </w:tc>
      </w:tr>
      <w:tr w:rsidR="00EC2011" w:rsidRPr="003A66EB" w14:paraId="41FDF1EA" w14:textId="77777777" w:rsidTr="0083191F">
        <w:trPr>
          <w:trHeight w:val="2835"/>
        </w:trPr>
        <w:tc>
          <w:tcPr>
            <w:tcW w:w="1259" w:type="dxa"/>
            <w:tcBorders>
              <w:top w:val="single" w:sz="4" w:space="0" w:color="auto"/>
              <w:left w:val="nil"/>
              <w:bottom w:val="single" w:sz="12" w:space="0" w:color="auto"/>
              <w:right w:val="nil"/>
            </w:tcBorders>
          </w:tcPr>
          <w:p w14:paraId="2B47EFA9" w14:textId="7E35F0AB" w:rsidR="00EC2011" w:rsidRPr="003A66EB" w:rsidRDefault="00EC2011" w:rsidP="0083191F">
            <w:pPr>
              <w:spacing w:before="120"/>
              <w:jc w:val="center"/>
            </w:pPr>
          </w:p>
        </w:tc>
        <w:tc>
          <w:tcPr>
            <w:tcW w:w="5450" w:type="dxa"/>
            <w:gridSpan w:val="2"/>
            <w:tcBorders>
              <w:top w:val="single" w:sz="4" w:space="0" w:color="auto"/>
              <w:left w:val="nil"/>
              <w:bottom w:val="single" w:sz="12" w:space="0" w:color="auto"/>
              <w:right w:val="nil"/>
            </w:tcBorders>
          </w:tcPr>
          <w:p w14:paraId="01C1FE70" w14:textId="3204B42C" w:rsidR="00EC2011" w:rsidRPr="003A66EB" w:rsidRDefault="00444FFA" w:rsidP="0083191F">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A4AD293" w14:textId="77777777" w:rsidR="00EC2011" w:rsidRPr="003A66EB" w:rsidRDefault="00D14925" w:rsidP="00D14925">
            <w:pPr>
              <w:spacing w:before="240"/>
            </w:pPr>
            <w:r w:rsidRPr="003A66EB">
              <w:t>Distr.:</w:t>
            </w:r>
            <w:r w:rsidR="0071548E" w:rsidRPr="003A66EB">
              <w:t xml:space="preserve"> </w:t>
            </w:r>
            <w:r w:rsidRPr="003A66EB">
              <w:t>General</w:t>
            </w:r>
          </w:p>
          <w:p w14:paraId="737D1A9B" w14:textId="6529C403" w:rsidR="00D14925" w:rsidRPr="003A66EB" w:rsidRDefault="008B6142" w:rsidP="00D14925">
            <w:pPr>
              <w:suppressAutoHyphens w:val="0"/>
            </w:pPr>
            <w:r>
              <w:t>7</w:t>
            </w:r>
            <w:r w:rsidR="00B246A0">
              <w:t xml:space="preserve"> October</w:t>
            </w:r>
            <w:r w:rsidR="0071548E" w:rsidRPr="002C778E">
              <w:t xml:space="preserve"> </w:t>
            </w:r>
            <w:r w:rsidR="007E36A1" w:rsidRPr="002C778E">
              <w:t>2022</w:t>
            </w:r>
          </w:p>
          <w:p w14:paraId="2172AEE7" w14:textId="77777777" w:rsidR="00D14925" w:rsidRPr="003A66EB" w:rsidRDefault="00D14925" w:rsidP="00D14925">
            <w:pPr>
              <w:suppressAutoHyphens w:val="0"/>
            </w:pPr>
          </w:p>
          <w:p w14:paraId="47AC8F30" w14:textId="77777777" w:rsidR="00D14925" w:rsidRPr="003A66EB" w:rsidRDefault="00D14925" w:rsidP="00D14925">
            <w:pPr>
              <w:suppressAutoHyphens w:val="0"/>
            </w:pPr>
            <w:r w:rsidRPr="003A66EB">
              <w:t>Original:</w:t>
            </w:r>
            <w:r w:rsidR="0071548E" w:rsidRPr="003A66EB">
              <w:t xml:space="preserve"> </w:t>
            </w:r>
            <w:r w:rsidRPr="003A66EB">
              <w:t>English</w:t>
            </w:r>
          </w:p>
        </w:tc>
      </w:tr>
    </w:tbl>
    <w:p w14:paraId="463670CE" w14:textId="4948E6F5" w:rsidR="00D14925" w:rsidRPr="003A66EB" w:rsidRDefault="00002691" w:rsidP="00D14925">
      <w:pPr>
        <w:spacing w:before="120"/>
        <w:rPr>
          <w:b/>
          <w:bCs/>
          <w:sz w:val="24"/>
          <w:szCs w:val="24"/>
        </w:rPr>
      </w:pPr>
      <w:r w:rsidRPr="00F450D9">
        <w:rPr>
          <w:b/>
          <w:bCs/>
        </w:rPr>
        <w:t>Seventy-seventh session</w:t>
      </w:r>
    </w:p>
    <w:p w14:paraId="4BCD2AD5" w14:textId="51CD422D" w:rsidR="00002691" w:rsidRDefault="003D7795" w:rsidP="00D14925">
      <w:pPr>
        <w:rPr>
          <w:bCs/>
        </w:rPr>
      </w:pPr>
      <w:r w:rsidRPr="00F450D9">
        <w:t>Agenda Item 7</w:t>
      </w:r>
      <w:r w:rsidR="007B6AC2">
        <w:t>4</w:t>
      </w:r>
      <w:r w:rsidRPr="00F450D9">
        <w:t>(a)</w:t>
      </w:r>
      <w:r w:rsidR="00F450D9" w:rsidRPr="00F450D9">
        <w:t xml:space="preserve"> of the provisional agenda</w:t>
      </w:r>
      <w:r w:rsidR="0062020C" w:rsidRPr="00F450D9">
        <w:rPr>
          <w:rStyle w:val="FootnoteReference"/>
          <w:bCs/>
          <w:sz w:val="20"/>
          <w:vertAlign w:val="baseline"/>
        </w:rPr>
        <w:footnoteReference w:customMarkFollows="1" w:id="2"/>
        <w:t>*</w:t>
      </w:r>
    </w:p>
    <w:p w14:paraId="1F11DFDE" w14:textId="77777777" w:rsidR="00F450D9" w:rsidRPr="00F450D9" w:rsidRDefault="00F450D9" w:rsidP="00F450D9">
      <w:pPr>
        <w:rPr>
          <w:b/>
        </w:rPr>
      </w:pPr>
      <w:r w:rsidRPr="00F450D9">
        <w:rPr>
          <w:b/>
        </w:rPr>
        <w:t xml:space="preserve">Elimination of racism, racial discrimination, xenophobia and related </w:t>
      </w:r>
    </w:p>
    <w:p w14:paraId="45BB66BC" w14:textId="524ED516" w:rsidR="00F450D9" w:rsidRPr="00F450D9" w:rsidRDefault="00F450D9" w:rsidP="00F450D9">
      <w:pPr>
        <w:rPr>
          <w:b/>
        </w:rPr>
      </w:pPr>
      <w:r w:rsidRPr="00F450D9">
        <w:rPr>
          <w:b/>
        </w:rPr>
        <w:t xml:space="preserve">intolerance: Elimination of racism, racial discrimination, xenophobia and related </w:t>
      </w:r>
    </w:p>
    <w:p w14:paraId="6B618E59" w14:textId="4161224C" w:rsidR="00F450D9" w:rsidRPr="00F450D9" w:rsidRDefault="00F450D9" w:rsidP="00F450D9">
      <w:pPr>
        <w:rPr>
          <w:b/>
        </w:rPr>
      </w:pPr>
      <w:r w:rsidRPr="00F450D9">
        <w:rPr>
          <w:b/>
        </w:rPr>
        <w:t>intolerance</w:t>
      </w:r>
    </w:p>
    <w:p w14:paraId="6A1A974C" w14:textId="301F85C1" w:rsidR="00D14925" w:rsidRPr="003A66EB" w:rsidRDefault="00D14925" w:rsidP="008E5C86">
      <w:pPr>
        <w:pStyle w:val="HChG"/>
      </w:pPr>
      <w:r w:rsidRPr="003A66EB">
        <w:tab/>
      </w:r>
      <w:r w:rsidRPr="003A66EB">
        <w:tab/>
      </w:r>
      <w:r w:rsidR="008E5C86">
        <w:t xml:space="preserve"> </w:t>
      </w:r>
    </w:p>
    <w:p w14:paraId="316E1355" w14:textId="6BB2CD25" w:rsidR="0062020C" w:rsidRDefault="0062020C" w:rsidP="00D14925">
      <w:pPr>
        <w:pStyle w:val="HChG"/>
      </w:pPr>
      <w:r>
        <w:tab/>
      </w:r>
      <w:r>
        <w:tab/>
      </w:r>
      <w:r w:rsidRPr="00002691">
        <w:t>Report of the Special Rapporteur on the combating glorification of Nazism, neo-Nazism and other practices that contribute to fuelling contemporary forms of racism, racial discrimination, xenophobia and related intolerance</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62020C" w14:paraId="2EF1A142" w14:textId="77777777" w:rsidTr="00C6263E">
        <w:trPr>
          <w:jc w:val="center"/>
        </w:trPr>
        <w:tc>
          <w:tcPr>
            <w:tcW w:w="9637" w:type="dxa"/>
            <w:shd w:val="clear" w:color="auto" w:fill="auto"/>
          </w:tcPr>
          <w:p w14:paraId="5BCEFDF6" w14:textId="77777777" w:rsidR="0062020C" w:rsidRPr="00C6263E" w:rsidRDefault="0062020C" w:rsidP="00C6263E">
            <w:pPr>
              <w:spacing w:before="240" w:after="120"/>
              <w:ind w:left="255"/>
              <w:rPr>
                <w:i/>
                <w:sz w:val="24"/>
                <w:lang w:val="en-GB"/>
              </w:rPr>
            </w:pPr>
            <w:r w:rsidRPr="00C6263E">
              <w:rPr>
                <w:i/>
                <w:sz w:val="24"/>
                <w:lang w:val="en-GB"/>
              </w:rPr>
              <w:t>Summary</w:t>
            </w:r>
          </w:p>
        </w:tc>
      </w:tr>
      <w:tr w:rsidR="0062020C" w14:paraId="2D3741F5" w14:textId="77777777" w:rsidTr="00C6263E">
        <w:trPr>
          <w:jc w:val="center"/>
        </w:trPr>
        <w:tc>
          <w:tcPr>
            <w:tcW w:w="9637" w:type="dxa"/>
            <w:shd w:val="clear" w:color="auto" w:fill="auto"/>
          </w:tcPr>
          <w:p w14:paraId="06C4211E" w14:textId="1AF8B4CA" w:rsidR="0062020C" w:rsidRDefault="00485BEA" w:rsidP="008D300E">
            <w:pPr>
              <w:pStyle w:val="SingleTxtG"/>
              <w:ind w:firstLine="567"/>
              <w:rPr>
                <w:lang w:val="en-GB"/>
              </w:rPr>
            </w:pPr>
            <w:r w:rsidRPr="00485BEA">
              <w:rPr>
                <w:lang w:val="en-GB"/>
              </w:rPr>
              <w:t>In this report, the Special Rapporteur summarizes information received from Member States with regard to the implementation of the above-mentioned resolution. She thanks Member States who made submissions for their contributions. The Special Rapporteur also summarizes the key trends in the glorification of Nazism and related racism, xenophobia and intolerance that she has observed and reported on during the five years of her mandate.</w:t>
            </w:r>
            <w:r w:rsidR="001837C8">
              <w:rPr>
                <w:lang w:val="en-GB"/>
              </w:rPr>
              <w:t xml:space="preserve"> </w:t>
            </w:r>
            <w:r w:rsidR="001837C8" w:rsidRPr="001837C8">
              <w:rPr>
                <w:lang w:val="en-GB"/>
              </w:rPr>
              <w:t>The Special Rapporteur subsequently outlines the governing principles and obligations of racial equality and non-discrimination, highlighting their application in combating racism and xenophobia</w:t>
            </w:r>
            <w:r w:rsidR="00DF61D9">
              <w:rPr>
                <w:lang w:val="en-GB"/>
              </w:rPr>
              <w:t>.</w:t>
            </w:r>
          </w:p>
        </w:tc>
      </w:tr>
      <w:tr w:rsidR="0062020C" w14:paraId="20F93423" w14:textId="77777777" w:rsidTr="00C6263E">
        <w:trPr>
          <w:jc w:val="center"/>
        </w:trPr>
        <w:tc>
          <w:tcPr>
            <w:tcW w:w="9637" w:type="dxa"/>
            <w:shd w:val="clear" w:color="auto" w:fill="auto"/>
          </w:tcPr>
          <w:p w14:paraId="3BEA2779" w14:textId="77777777" w:rsidR="0062020C" w:rsidRDefault="0062020C" w:rsidP="008D300E">
            <w:pPr>
              <w:ind w:firstLine="567"/>
              <w:rPr>
                <w:lang w:val="en-GB"/>
              </w:rPr>
            </w:pPr>
          </w:p>
        </w:tc>
      </w:tr>
    </w:tbl>
    <w:p w14:paraId="1A556F9B" w14:textId="35E1B5CF" w:rsidR="0062020C" w:rsidRDefault="0062020C" w:rsidP="0062020C">
      <w:r>
        <w:br w:type="page"/>
      </w:r>
    </w:p>
    <w:p w14:paraId="192B354C" w14:textId="3C8A225F" w:rsidR="00EF53AB" w:rsidRPr="003A66EB" w:rsidRDefault="00D14925" w:rsidP="00D14925">
      <w:pPr>
        <w:pStyle w:val="HChG"/>
      </w:pPr>
      <w:r w:rsidRPr="003A66EB">
        <w:lastRenderedPageBreak/>
        <w:tab/>
        <w:t>I.</w:t>
      </w:r>
      <w:r w:rsidRPr="003A66EB">
        <w:tab/>
        <w:t>Introduction</w:t>
      </w:r>
    </w:p>
    <w:p w14:paraId="0E781FD1" w14:textId="77777777" w:rsidR="00CE219C" w:rsidRPr="00CE219C" w:rsidRDefault="00D14925"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bookmarkStart w:id="0" w:name="_Toc4084970"/>
      <w:r w:rsidRPr="00C677D5">
        <w:rPr>
          <w:rStyle w:val="NoneB"/>
          <w:rFonts w:eastAsia="Times New Roman"/>
          <w:lang w:val="en-GB"/>
        </w:rPr>
        <w:t>The</w:t>
      </w:r>
      <w:bookmarkEnd w:id="0"/>
      <w:r w:rsidR="00CE219C">
        <w:rPr>
          <w:rStyle w:val="NoneB"/>
          <w:rFonts w:eastAsia="Times New Roman"/>
          <w:lang w:val="en-GB"/>
        </w:rPr>
        <w:t xml:space="preserve"> </w:t>
      </w:r>
      <w:r w:rsidR="00CE219C" w:rsidRPr="00CE219C">
        <w:rPr>
          <w:rFonts w:eastAsia="Times New Roman"/>
        </w:rPr>
        <w:t>present report is submitted to the General Assembly pursuant to General Assembly resolution 76/149, in which the Assembly requested the Special Rapporteur on contemporary forms of racism, racial discrimination, xenophobia and related intolerance to submit a report on the implementation of that resolution to its 77</w:t>
      </w:r>
      <w:r w:rsidR="00CE219C" w:rsidRPr="00CE219C">
        <w:rPr>
          <w:rFonts w:eastAsia="Times New Roman"/>
          <w:vertAlign w:val="superscript"/>
        </w:rPr>
        <w:t>th</w:t>
      </w:r>
      <w:r w:rsidR="00CE219C" w:rsidRPr="00CE219C">
        <w:rPr>
          <w:rFonts w:eastAsia="Times New Roman"/>
        </w:rPr>
        <w:t xml:space="preserve"> session. </w:t>
      </w:r>
    </w:p>
    <w:p w14:paraId="31695165"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In this report, the Special Rapporteur summarizes information received from Member States with regard to the implementation of the above-mentioned resolution. She thanks Member States who made submissions for their contributions. </w:t>
      </w:r>
    </w:p>
    <w:p w14:paraId="30645992"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Special Rapporteur also </w:t>
      </w:r>
      <w:bookmarkStart w:id="1" w:name="_Hlk115795869"/>
      <w:r w:rsidRPr="00CE219C">
        <w:rPr>
          <w:rFonts w:eastAsia="Times New Roman"/>
        </w:rPr>
        <w:t>summarizes the key trends in the glorification of Nazism and related racism, xenophobia and intolerance that she has observed and reported on during the five years of her mandate</w:t>
      </w:r>
      <w:bookmarkEnd w:id="1"/>
      <w:r w:rsidRPr="00CE219C">
        <w:rPr>
          <w:rFonts w:eastAsia="Times New Roman"/>
        </w:rPr>
        <w:t>. Such trends include the broadening of neo-Nazi groups to embrace white nationalists and right-wing populist movements; the increased acceptance of neo-Nazi and related racism, xenophobia and intolerance within mainstream discourses and forums; the use of new technologies to further neo-Nazism and related racism, xenophobia and intolerance; the recruitment of young people; an upsurge of antisemitism in Europe and North America; anti-Asian and anti-black racism, Islamophobia, and attacks on non-nationals, in relation to the origin and propagation of COVID-19; and the instrumentalization of the standards and tools designed to address neo-Nazism and related racism, xenophobia and intolerance.</w:t>
      </w:r>
      <w:r w:rsidRPr="00CE219C">
        <w:rPr>
          <w:rFonts w:eastAsia="Times New Roman"/>
        </w:rPr>
        <w:tab/>
        <w:t xml:space="preserve"> </w:t>
      </w:r>
    </w:p>
    <w:p w14:paraId="14CD13A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rPr>
        <w:t xml:space="preserve">The Special Rapporteur subsequently outlines the governing principles and obligations of racial equality and non-discrimination, highlighting their application in combating racism and xenophobia. As highlighted in previous reports, she reminds Member States of the strong commitment required to tackle the increase in hate crime and incitement to violence targeting ethnic, racial and religious minorities worldwide. She reminds States to consider the references in General Assembly Resolution 76/149 to the horrors of the Second World War and the call to save future generations from the scourge of war. She calls upon States to redouble efforts to address all forms of ethnic, racial and religious hatred and to promote tolerance and understanding within and between countries. </w:t>
      </w:r>
    </w:p>
    <w:p w14:paraId="1A76B5F2" w14:textId="59FD2FBE" w:rsidR="00CE219C" w:rsidRPr="00CE219C" w:rsidRDefault="00CE219C" w:rsidP="00CE219C">
      <w:pPr>
        <w:pStyle w:val="HChG"/>
        <w:rPr>
          <w:rFonts w:eastAsia="Times New Roman"/>
        </w:rPr>
      </w:pPr>
      <w:r>
        <w:rPr>
          <w:rFonts w:eastAsia="Times New Roman"/>
        </w:rPr>
        <w:tab/>
      </w:r>
      <w:r w:rsidRPr="00CE219C">
        <w:rPr>
          <w:rFonts w:eastAsia="Times New Roman"/>
        </w:rPr>
        <w:t>II.</w:t>
      </w:r>
      <w:r w:rsidRPr="00CE219C">
        <w:rPr>
          <w:rFonts w:eastAsia="Times New Roman"/>
        </w:rPr>
        <w:tab/>
        <w:t xml:space="preserve">Submissions by Member States </w:t>
      </w:r>
    </w:p>
    <w:p w14:paraId="572ED01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In the present section, the Special Rapporteur summarizes submissions provided by Member States on laws and policies in place to combat Nazism and neo-Nazism, but she does not analyse or evaluate these laws or policies. She underscores that providing the summaries of State submissions below does not constitute her endorsement of their content. Indeed, some of the laws and policies summarized below, and/or gaps and weaknesses in the relevant legislative and policy frameworks, may be, or have been, subject to review and condemnation for being in contravention of international human rights law by other actors within the United Nations human rights system.</w:t>
      </w:r>
    </w:p>
    <w:p w14:paraId="39F0FD22" w14:textId="311A8AEF" w:rsidR="00CE219C" w:rsidRPr="00CE219C" w:rsidRDefault="00CE219C" w:rsidP="008B6142">
      <w:pPr>
        <w:pStyle w:val="H1G"/>
        <w:numPr>
          <w:ilvl w:val="0"/>
          <w:numId w:val="12"/>
        </w:numPr>
        <w:tabs>
          <w:tab w:val="clear" w:pos="851"/>
          <w:tab w:val="right" w:pos="632"/>
        </w:tabs>
        <w:ind w:left="1134" w:hanging="502"/>
      </w:pPr>
      <w:r w:rsidRPr="00CE219C">
        <w:t xml:space="preserve">Armenia </w:t>
      </w:r>
    </w:p>
    <w:p w14:paraId="6D2BDCD6"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Armenia provided information about how there are no neo-Nazi or similar groups within the State. The Government also provided information about measures taken in law to </w:t>
      </w:r>
      <w:bookmarkStart w:id="2" w:name="_Hlk115795720"/>
      <w:r w:rsidRPr="00CE219C">
        <w:rPr>
          <w:rFonts w:eastAsia="Times New Roman"/>
        </w:rPr>
        <w:t>prevent and address incidents and manifestations of discrimination, hate speech and hate crime</w:t>
      </w:r>
      <w:bookmarkEnd w:id="2"/>
      <w:r w:rsidRPr="00CE219C">
        <w:rPr>
          <w:rFonts w:eastAsia="Times New Roman"/>
        </w:rPr>
        <w:t xml:space="preserve">, in accordance with their international human rights obligations. The information outlines that a new Criminal Code will come into force in July 2022. According to the information provided, relevant provisions within the new Criminal Code include </w:t>
      </w:r>
      <w:r w:rsidRPr="00CE219C">
        <w:rPr>
          <w:rFonts w:eastAsia="Times New Roman"/>
          <w:i/>
          <w:iCs/>
        </w:rPr>
        <w:t>inter alia</w:t>
      </w:r>
      <w:r w:rsidRPr="00CE219C">
        <w:rPr>
          <w:rFonts w:eastAsia="Times New Roman"/>
        </w:rPr>
        <w:t xml:space="preserve"> Article 329, which criminalises incitement to violence and discrimination; and Article 330, which makes it a crime to distribute materials or objects for such purposes. </w:t>
      </w:r>
    </w:p>
    <w:p w14:paraId="66B2ECF0"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information provided by the Government of Armenia also describes how the Ministry of Justice, in partnership with the Council of Europe, compiled a study on legal regulations in place to prevent and punish hate speech. Based upon this study, amendments have been made to the relevant legal framework to address protection gaps. The Government </w:t>
      </w:r>
      <w:r w:rsidRPr="00CE219C">
        <w:rPr>
          <w:rFonts w:eastAsia="Times New Roman"/>
        </w:rPr>
        <w:lastRenderedPageBreak/>
        <w:t xml:space="preserve">also provided information about legal provisions in place to prevent discrimination in the labour market and draft legislation to ensure equality before the law and the comprehensive protection of minority groups. </w:t>
      </w:r>
    </w:p>
    <w:p w14:paraId="0EC57AD3"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Information was also provided by the Government about the policy steps taken, alongside the legal measures, described above. These include an assessment of the collection of disaggregated data on discrimination, hate crime and hate speech to identify and address gaps in this respect.  Data currently available is compiled from crime statistics and was summarised within the information provided. According to the statistics provided, hate crimes have increased between 2016 and 2021 but data for 2021 showed a decrease compared to 2020. </w:t>
      </w:r>
    </w:p>
    <w:p w14:paraId="7773A34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information provided also described collaboration with regional and international human rights mechanisms. It outlines how in 2020, Armenia submitted their fifth country report under the Council of Europe Framework Convention for the Protection of National Minorities. In addition, the State’s ratification of a number of international human rights treaties, including the International Covenant on Civil and Political Rights and the International Convention on the Elimination of Racial Discrimination, was described. </w:t>
      </w:r>
    </w:p>
    <w:p w14:paraId="55E20612"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bookmarkStart w:id="3" w:name="_Hlk115795670"/>
      <w:r w:rsidRPr="00CE219C">
        <w:rPr>
          <w:rFonts w:eastAsia="Times New Roman"/>
        </w:rPr>
        <w:t>The Government also provided information about alleged incidences of human rights abuses perpetrated by Azerbaijan</w:t>
      </w:r>
      <w:bookmarkEnd w:id="3"/>
      <w:r w:rsidRPr="00CE219C">
        <w:rPr>
          <w:rFonts w:eastAsia="Times New Roman"/>
        </w:rPr>
        <w:t xml:space="preserve">.  </w:t>
      </w:r>
    </w:p>
    <w:p w14:paraId="5B0FBD4D" w14:textId="7E294823" w:rsidR="00CE219C" w:rsidRPr="00CE219C" w:rsidRDefault="00CE219C" w:rsidP="008B6142">
      <w:pPr>
        <w:pStyle w:val="H1G"/>
        <w:numPr>
          <w:ilvl w:val="0"/>
          <w:numId w:val="12"/>
        </w:numPr>
        <w:tabs>
          <w:tab w:val="clear" w:pos="851"/>
          <w:tab w:val="right" w:pos="709"/>
        </w:tabs>
        <w:ind w:left="1134" w:hanging="502"/>
        <w:rPr>
          <w:rFonts w:eastAsia="Times New Roman"/>
        </w:rPr>
      </w:pPr>
      <w:r w:rsidRPr="00CE219C">
        <w:t>Belarus</w:t>
      </w:r>
      <w:r w:rsidRPr="00CE219C">
        <w:rPr>
          <w:rFonts w:eastAsia="Times New Roman"/>
        </w:rPr>
        <w:t xml:space="preserve"> </w:t>
      </w:r>
    </w:p>
    <w:p w14:paraId="05DE07DF" w14:textId="0BA62AE5"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Belarus submitted a report entitled “The Most Resonant Human Rights Violations in Certain Countries of the World”. This report discusses alleged human rights violations in a range of Western countries, including Austria, Belgium, Bulgaria, Canada, Czech Republic, Estonia, Finland, France, Germany, Greece, Italy, Latvia, the Netherlands, Norway, Poland, Romania, Slovakia, Spain, Sweden, Switzerland, the United Kingdom of </w:t>
      </w:r>
      <w:r w:rsidR="00916A11">
        <w:rPr>
          <w:rFonts w:eastAsia="Times New Roman"/>
        </w:rPr>
        <w:t xml:space="preserve">Great </w:t>
      </w:r>
      <w:r w:rsidRPr="00CE219C">
        <w:rPr>
          <w:rFonts w:eastAsia="Times New Roman"/>
        </w:rPr>
        <w:t>Britain and Northern Ireland and the United States of America. Themes discussed include Islamophobic legislative provisions; discrimination and xenophobia against migrants, including refugees and asylum seekers; discrimination against those from Russia and Belarus; antisemitic violence; other forms of antisemitism; hate speech by political officials; and the destruction of memorials to World War II.</w:t>
      </w:r>
    </w:p>
    <w:p w14:paraId="31E0A1C5" w14:textId="77777777" w:rsidR="00CE219C" w:rsidRPr="00CE219C" w:rsidRDefault="00CE219C" w:rsidP="008B6142">
      <w:pPr>
        <w:pStyle w:val="H1G"/>
        <w:numPr>
          <w:ilvl w:val="0"/>
          <w:numId w:val="12"/>
        </w:numPr>
        <w:tabs>
          <w:tab w:val="clear" w:pos="851"/>
          <w:tab w:val="right" w:pos="709"/>
        </w:tabs>
        <w:ind w:left="1134" w:hanging="425"/>
        <w:rPr>
          <w:rFonts w:eastAsia="Times New Roman"/>
        </w:rPr>
      </w:pPr>
      <w:r w:rsidRPr="00CE219C">
        <w:t>Burundi</w:t>
      </w:r>
      <w:r w:rsidRPr="00CE219C">
        <w:rPr>
          <w:rFonts w:eastAsia="Times New Roman"/>
        </w:rPr>
        <w:t xml:space="preserve"> </w:t>
      </w:r>
    </w:p>
    <w:p w14:paraId="11AADF68"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Government of Burundi reported that there is no racism, xenophobia or related intolerance within the country. The information provided by the Government goes on to outline the ratification of the International Covenant on Civil and Political Rights in 1990. The information subsequently describes national legislative provisions, including the Penal Code and Constitution, which transpose international obligations into national law and criminalise racial discrimination.</w:t>
      </w:r>
    </w:p>
    <w:p w14:paraId="0E4CEE29"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information provided by the Government of Burundi also discusses relevant policy documents, including the Burundian Vision; the National Development Plan of Burundi (2018-2027); and the Social Protection and National Health Policy. The information describes how measures outlined in these strategies address inequalities within the countries, including those that result from structural and systemic racism. Finally, the information provided by the Government of Burundi, describes relevant institutions that contribute to human rights protection, including the Ombudsman, the National Independent Human Rights Commission, the Truth and Reconciliation Commission and the National Observatory for the Prevention and Eradication of Genocide, War Crimes and other Crimes against Humanity.</w:t>
      </w:r>
    </w:p>
    <w:p w14:paraId="385951BE" w14:textId="77777777" w:rsidR="00CE219C" w:rsidRPr="00CE219C" w:rsidRDefault="00CE219C" w:rsidP="008B6142">
      <w:pPr>
        <w:pStyle w:val="H1G"/>
        <w:numPr>
          <w:ilvl w:val="0"/>
          <w:numId w:val="12"/>
        </w:numPr>
        <w:tabs>
          <w:tab w:val="clear" w:pos="851"/>
          <w:tab w:val="right" w:pos="709"/>
        </w:tabs>
        <w:ind w:left="1134" w:hanging="425"/>
        <w:rPr>
          <w:rFonts w:eastAsia="Times New Roman"/>
        </w:rPr>
      </w:pPr>
      <w:r w:rsidRPr="00CE219C">
        <w:t>Chile</w:t>
      </w:r>
      <w:r w:rsidRPr="00CE219C">
        <w:rPr>
          <w:rFonts w:eastAsia="Times New Roman"/>
        </w:rPr>
        <w:t xml:space="preserve"> </w:t>
      </w:r>
    </w:p>
    <w:p w14:paraId="55A1BE5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Chile provided information about the legal framework in place to prevent and combat discrimination, intolerance, racism and related violence. According to the information provided, Law No.20.609 has been in place since 2012 and is designed to </w:t>
      </w:r>
      <w:r w:rsidRPr="00CE219C">
        <w:rPr>
          <w:rFonts w:eastAsia="Times New Roman"/>
        </w:rPr>
        <w:lastRenderedPageBreak/>
        <w:t>establish judicial redress in cases of discrimination. According to the information provided, the law has been subjected to criticism based on issues with the definition of discrimination, the superiority of other rights over the rights to equality and non-discrimination within the national legal order and the low number of cases brought before the courts under the legislation. Bulletin No.12.748-17 is being processed in order to address these criticisms and strengthen Law No.20.609.</w:t>
      </w:r>
    </w:p>
    <w:p w14:paraId="55DD1494"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additionally provided information about the public policies in place to prevent and combat discrimination and related intolerance. The National Human Rights Plan (NHRP) is designed to mainstream human rights standards across the State. The first NHRP covered the period 2018-2021 and the second plan is currently being developed. There are a number of goals within both plans that address equality and non-discrimination, including manifestations of discrimination affecting migrants and refugees, older persons, women, LGBTIQ+, persons with disabilities and indigenous and tribal peoples. </w:t>
      </w:r>
    </w:p>
    <w:p w14:paraId="3B2309BF"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According to the information provided, the Human Rights Training and Education Unit has provided a range of training and awareness raising activities for civil servants and the general public. For example, a training portal has been provided which has courses to promote human rights awareness. These courses are tailored to different audiences and address varied topics. </w:t>
      </w:r>
    </w:p>
    <w:p w14:paraId="4A39A679" w14:textId="77777777" w:rsidR="00CE219C" w:rsidRPr="00CE219C" w:rsidRDefault="00CE219C" w:rsidP="008B6142">
      <w:pPr>
        <w:pStyle w:val="H1G"/>
        <w:numPr>
          <w:ilvl w:val="0"/>
          <w:numId w:val="12"/>
        </w:numPr>
        <w:tabs>
          <w:tab w:val="clear" w:pos="851"/>
          <w:tab w:val="right" w:pos="709"/>
        </w:tabs>
        <w:ind w:left="1134" w:hanging="425"/>
        <w:rPr>
          <w:rFonts w:eastAsia="Times New Roman"/>
        </w:rPr>
      </w:pPr>
      <w:r w:rsidRPr="00CE219C">
        <w:t>Guatemala</w:t>
      </w:r>
      <w:r w:rsidRPr="00CE219C">
        <w:rPr>
          <w:rFonts w:eastAsia="Times New Roman"/>
        </w:rPr>
        <w:t xml:space="preserve"> </w:t>
      </w:r>
    </w:p>
    <w:p w14:paraId="20B451BE"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information provided by the Government of Guatemala was submitted by the Presidential Commission against Discrimination and Racism against Indigenous Peoples in Guatemala (CODRISA). The Government of Guatemala provided information about its commitment to combatting racism, racial discrimination, xenophobia and intolerance and described how its response to such phenomena is grounded in the Durban Declaration and Programme and Action and its obligations under the Convention for the Elimination of Racial Discrimination. </w:t>
      </w:r>
    </w:p>
    <w:p w14:paraId="5239F275"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information provided by the Government of Guatemala states there are no known neo-Nazi, skinhead and extremist groups that promote, tolerate or exacerbate forms of racism, racial discrimination, xenophobia and other forms of related intolerance within the State’s territory.</w:t>
      </w:r>
    </w:p>
    <w:p w14:paraId="5B4ECF5B"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Guatemala provided information about the legislative provisions in place to prevent and combat manifestations of racism, racial discrimination, xenophobia and related intolerance. These provisions include article 4 of the Political Constitution of the Republic of Guatemala, which establishes the freedom and equality of all and Article 202 of the Penal Code that criminalises discrimination. </w:t>
      </w:r>
    </w:p>
    <w:p w14:paraId="36F78D8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information provided also described the institutional framework in place to promote political, social and cultural tolerance. According to the information provided, CODIRSA was created according to Governmental Agreement no. 390-2002 and is the public body responsible for the formulation and monitoring of public policies and programmes designed to address racism, racial discrimination, xenophobia and related intolerance. The information also details the mandate of the Technical Committee for the Strengthening of Strategic Litigation of Discrimination Cases, which was set up to promote a space for dialogue and communication between civil servants and public officials to strengthen the investigation of discrimination cases. The Government also provided information about efforts to promote linguistic plurality within the education system, to facilitate access to justice for indigenous peoples and train law enforcement officials on the prevention of discrimination and racism. </w:t>
      </w:r>
    </w:p>
    <w:p w14:paraId="1017542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Additionally, the Government of Guatemala provided disaggregated data on assistance provided by the Office for the Defence of Indigenous Women’s Rights; cases handled by the Judicial Body; and the number of complaints of discrimination addressed by the legal component of CODIRSA. According to data on the complaints addressed by CODRISA, in 2021 8 complaints were transferred to the Public Prosecutor’ Office. </w:t>
      </w:r>
    </w:p>
    <w:p w14:paraId="6A049191" w14:textId="77777777" w:rsidR="00CE219C" w:rsidRPr="00CE219C" w:rsidRDefault="00CE219C" w:rsidP="008B6142">
      <w:pPr>
        <w:pStyle w:val="H1G"/>
        <w:numPr>
          <w:ilvl w:val="0"/>
          <w:numId w:val="12"/>
        </w:numPr>
        <w:tabs>
          <w:tab w:val="clear" w:pos="851"/>
          <w:tab w:val="right" w:pos="567"/>
        </w:tabs>
        <w:ind w:left="1134" w:hanging="567"/>
        <w:rPr>
          <w:rFonts w:eastAsia="Times New Roman"/>
        </w:rPr>
      </w:pPr>
      <w:r w:rsidRPr="00CE219C">
        <w:lastRenderedPageBreak/>
        <w:t>Iraq</w:t>
      </w:r>
      <w:r w:rsidRPr="00CE219C">
        <w:rPr>
          <w:rFonts w:eastAsia="Times New Roman"/>
        </w:rPr>
        <w:t xml:space="preserve"> </w:t>
      </w:r>
    </w:p>
    <w:p w14:paraId="4C515E5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Government of Iraq provided information about there being no neo-Nazi groups within the State’s territory. The information provided goes on to describe the emergence of Da'esh/ISIS in Iraq in 2014. The information provided by the Government reports that Da’esh/ISIS have committed atrocities including killings, torture, kidnappings, rape, gender enslavement, child recruitment, and crimes against humanity. The Government describes their response to the emergence of Da’esh/ISIS, including legal measures taken to protect human rights and promote the rule of law, as well as steps to liberate the areas which fell under Da’esh/ISIS control and provide temporary shelter to internally displaced persons.</w:t>
      </w:r>
    </w:p>
    <w:p w14:paraId="0C60B16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information provided by the Government also highlights relevant legal provisions in place in the State party, including Law 32 of 2016 adopted to counter racist movements, ideologies and political movements and organisations; Law 36 of 2015, which governs political parties; and provisions that protect religious freedom and worship.</w:t>
      </w:r>
    </w:p>
    <w:p w14:paraId="6A6ACC86" w14:textId="3FBAE2ED"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In addition, the Government provided information about the policy framework, including the National Strategy for Countering Terrorism 2021-2025. The Government also described a joint initiative within the United Nations Assistance Mission in Iraq (UNAMI) to address violence; initiatives created by the Ministry of Education to promote a spirit of tolerance and acceptance; and measures taken by the Committee on Information and Communication to bans any kind of incitement to violence or hatred against individuals and groups on the basis of ethnicity, gender or religious affiliation.</w:t>
      </w:r>
    </w:p>
    <w:p w14:paraId="1E352B31" w14:textId="77777777" w:rsidR="00CE219C" w:rsidRPr="00CE219C" w:rsidRDefault="00CE219C" w:rsidP="008B6142">
      <w:pPr>
        <w:pStyle w:val="H1G"/>
        <w:numPr>
          <w:ilvl w:val="0"/>
          <w:numId w:val="12"/>
        </w:numPr>
        <w:tabs>
          <w:tab w:val="clear" w:pos="851"/>
          <w:tab w:val="right" w:pos="567"/>
        </w:tabs>
        <w:ind w:left="1134" w:hanging="567"/>
        <w:rPr>
          <w:rFonts w:eastAsia="Times New Roman"/>
        </w:rPr>
      </w:pPr>
      <w:r w:rsidRPr="00CE219C">
        <w:t>Lithuania</w:t>
      </w:r>
      <w:r w:rsidRPr="00CE219C">
        <w:rPr>
          <w:rFonts w:eastAsia="Times New Roman"/>
        </w:rPr>
        <w:t xml:space="preserve"> </w:t>
      </w:r>
    </w:p>
    <w:p w14:paraId="78C6A999"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Cs/>
        </w:rPr>
      </w:pPr>
      <w:r w:rsidRPr="00CE219C">
        <w:rPr>
          <w:rFonts w:eastAsia="Times New Roman"/>
          <w:bCs/>
        </w:rPr>
        <w:t>The Government of Lithuania provided information about their position on General Assembly resolution 76/149. The Government stressed the importance that it places on the topics of racism, racial discrimination, xenophobia and related intolerance. The information provided by the Government subsequently explained that despite their commitment to addressing racism, racial discrimination, xenophobia and related intolerance, they voted against General Assembly resolution 76/149 because of how it used by the Russian Federation, one of the main sponsors, to spread disinformation and weaponize sensitive issues.</w:t>
      </w:r>
    </w:p>
    <w:p w14:paraId="786558A0" w14:textId="77777777" w:rsidR="00CE219C" w:rsidRPr="00CE219C" w:rsidRDefault="00CE219C" w:rsidP="00CE219C">
      <w:pPr>
        <w:pStyle w:val="SingleTxtG"/>
        <w:numPr>
          <w:ilvl w:val="0"/>
          <w:numId w:val="6"/>
        </w:numPr>
        <w:pBdr>
          <w:top w:val="nil"/>
          <w:left w:val="nil"/>
          <w:bottom w:val="nil"/>
          <w:right w:val="nil"/>
          <w:between w:val="nil"/>
          <w:bar w:val="nil"/>
        </w:pBdr>
        <w:ind w:left="1134" w:firstLine="0"/>
        <w:rPr>
          <w:rFonts w:eastAsia="Times New Roman"/>
          <w:b/>
        </w:rPr>
      </w:pPr>
      <w:r w:rsidRPr="00CE219C">
        <w:rPr>
          <w:rFonts w:eastAsia="Times New Roman"/>
        </w:rPr>
        <w:t xml:space="preserve">The Government of Lithuania also provided information about the legislative steps that have been taken to address discrimination in the State. This includes the ratification of both the International Convention on the Elimination of All Forms of Racial Discrimination and regional standards on online hate speech and equality before the law. Information was also provided about the relevant national legal framework, including provisions in the recently amended Criminal Code, which apply criminal law to various forms and expressions of racism and xenophobia. Policies and programmes in place were also described, including the 2021-2030 Social Inclusion Development Program and participation in the implementation of “A Union of Equality: EU Anti-Racism Action Plan 2020-2025”. </w:t>
      </w:r>
    </w:p>
    <w:p w14:paraId="6305F0A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highlights that a number of steps have been undertaken, in recent years, to strengthen the response to hate crime and hate speech. For example, in 2020, a working group was established to promote an effective response to hate crime and hate speech. In addition, guidelines for the investigation of hate crime and hate speech were developed and approved by the Prosecutor General of the Republic of Lithuania. Practical guidance for law enforcement officers on cooperation with communities vulnerable to hate crime have also been developed, according to the information provided. Information was also included about a range of education and awareness-raising activities, including </w:t>
      </w:r>
      <w:r w:rsidRPr="00CE219C">
        <w:rPr>
          <w:rFonts w:eastAsia="Times New Roman"/>
          <w:i/>
          <w:iCs/>
        </w:rPr>
        <w:t>inter alia</w:t>
      </w:r>
      <w:r w:rsidRPr="00CE219C">
        <w:rPr>
          <w:rFonts w:eastAsia="Times New Roman"/>
        </w:rPr>
        <w:t xml:space="preserve"> the establishment of Tolerance Education Centres, materials to raise awareness about World War II and events to mark Roma Genocide Day. </w:t>
      </w:r>
    </w:p>
    <w:p w14:paraId="75EF151B" w14:textId="77777777" w:rsidR="00CE219C" w:rsidRPr="00CE219C" w:rsidRDefault="00CE219C" w:rsidP="008B6142">
      <w:pPr>
        <w:pStyle w:val="H1G"/>
        <w:numPr>
          <w:ilvl w:val="0"/>
          <w:numId w:val="12"/>
        </w:numPr>
        <w:tabs>
          <w:tab w:val="clear" w:pos="851"/>
          <w:tab w:val="right" w:pos="567"/>
        </w:tabs>
        <w:ind w:left="1134" w:hanging="567"/>
        <w:rPr>
          <w:rFonts w:eastAsia="Times New Roman"/>
        </w:rPr>
      </w:pPr>
      <w:r w:rsidRPr="00CE219C">
        <w:t>Mauritius</w:t>
      </w:r>
      <w:r w:rsidRPr="00CE219C">
        <w:rPr>
          <w:rFonts w:eastAsia="Times New Roman"/>
        </w:rPr>
        <w:t xml:space="preserve"> </w:t>
      </w:r>
    </w:p>
    <w:p w14:paraId="70099B1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Mauritius described the legal framework in place to ensure the equal treatment of minority groups, including constitutional provisions guaranteeing </w:t>
      </w:r>
      <w:r w:rsidRPr="00CE219C">
        <w:rPr>
          <w:rFonts w:eastAsia="Times New Roman"/>
        </w:rPr>
        <w:lastRenderedPageBreak/>
        <w:t xml:space="preserve">protection from discrimination and ensuring religious freedom and relevant sections of the Criminal Code criminalising a range of acts against persons, events and property of a religious nature and offenses involving incitement to hatred. </w:t>
      </w:r>
    </w:p>
    <w:p w14:paraId="22A8BF70"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Information was also provided about amendments made to Section 46 of the Information and Communications Act, in 2018, to address the malicious use of social media. According to the information provided, the amendments were designed to protect individuals from being victims of racial discrimination by means of hate speech, impersonation or other types of harassment carried out through various information and communication technologies. The Government also provided information about relevant provisions in the Equal Opportunities Act; the Truth and Justice Commission Act; the Judicial and Legal Provisions Act; and the Protection of Human Rights Act. </w:t>
      </w:r>
    </w:p>
    <w:p w14:paraId="24D41BD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provided information about the role of the Independent Broadcasting Authority, which was created in 2001, to uphold and promote the pluralistic nature of Mauritian culture. The role of the Office of Ombudsman, including in investigating complaints of discrimination, was also described by Mauritius. </w:t>
      </w:r>
    </w:p>
    <w:p w14:paraId="5E27CFFE"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Mauritius also detailed measures taken to ensure equality and non-discrimination across a wide range of societal settings, including employment, housing, health, education, cultural activities and political participation. </w:t>
      </w:r>
    </w:p>
    <w:p w14:paraId="4D8331A8"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additionally provided information about steps to preserve the cultural diversity of Mauritius within the education system through its formal curriculum and extra-curricular activities, as well as measures to tackle bullying and hate speech within educational institutions. Programmes to promote equal participation in cultural activities were also described. These include the provision of infrastructure for all religions, as well as various funds for the preservation of cultural heritage and the promotion of linguistic pluralism. Mauritius described the launch of the Intercontinental Slavery Museum (ISM) in October 2020 with an inaugural exhibition entitled “Breaking the Silence”. </w:t>
      </w:r>
    </w:p>
    <w:p w14:paraId="61563799" w14:textId="197E1781"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Government of Mauritius additionally provided information about their political system. According to the information provided, voting rights are available to all</w:t>
      </w:r>
      <w:r w:rsidR="000A27C5">
        <w:rPr>
          <w:rFonts w:eastAsia="Times New Roman"/>
        </w:rPr>
        <w:t xml:space="preserve"> individuals</w:t>
      </w:r>
      <w:r w:rsidRPr="00CE219C">
        <w:rPr>
          <w:rFonts w:eastAsia="Times New Roman"/>
        </w:rPr>
        <w:t xml:space="preserve"> aged </w:t>
      </w:r>
      <w:r w:rsidR="000A27C5">
        <w:rPr>
          <w:rFonts w:eastAsia="Times New Roman"/>
        </w:rPr>
        <w:t>over</w:t>
      </w:r>
      <w:r w:rsidRPr="00CE219C">
        <w:rPr>
          <w:rFonts w:eastAsia="Times New Roman"/>
        </w:rPr>
        <w:t xml:space="preserve"> 18 and governments are selected every five years according to the Constitution and other national legal provisions. Mauritius ranked among the top 21 countries in the Economist Intelligence Unit’s 2020 Democracy Index, according to the information provided. </w:t>
      </w:r>
    </w:p>
    <w:p w14:paraId="439FD6CD" w14:textId="680BC64E" w:rsidR="00CE219C" w:rsidRPr="00CE219C" w:rsidRDefault="00CE219C" w:rsidP="008B6142">
      <w:pPr>
        <w:pStyle w:val="H1G"/>
        <w:numPr>
          <w:ilvl w:val="0"/>
          <w:numId w:val="12"/>
        </w:numPr>
        <w:tabs>
          <w:tab w:val="clear" w:pos="851"/>
          <w:tab w:val="right" w:pos="567"/>
        </w:tabs>
        <w:ind w:left="1134" w:hanging="567"/>
        <w:rPr>
          <w:rFonts w:eastAsia="Times New Roman"/>
        </w:rPr>
      </w:pPr>
      <w:r w:rsidRPr="00CE219C">
        <w:rPr>
          <w:rFonts w:eastAsia="Times New Roman"/>
        </w:rPr>
        <w:t xml:space="preserve">New Zealand </w:t>
      </w:r>
    </w:p>
    <w:p w14:paraId="660057B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New Zealand provided information about the National Action Plan Against Racism. The New Zealand Government has committed to developing the action plan for Aotearoa New Zealand, as part of their formal response to the recommendations accepted during the third cycle of the Universal Periodic Review. According to information provided, the aim of the national action plan is to work in partnership with the National Iwi Chairs Forum and other communities to progressively eliminate racism at all levels of society within Aotearoa New Zealand. It is described that a process for developing the action plan has been agreed and is now underway, drawing on a range of consultative activities with indigenous communities, organisations, community and thought leaders. </w:t>
      </w:r>
    </w:p>
    <w:p w14:paraId="48499ED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Information was also provided about combatting incitement to hatred. The Royal Commission of Inquiry (RCOI) into the 2019 terrorist attack on Christchurch masjidain looked at hate speech, according to the information provided. The Commission recommended amending the existing offence of inciting racial disharmony to extend the application of criminal sanctions for incitement against religious groups and increase the corresponding penalties. Information was also provided about legal amendments, which go beyond the scope of the recommendations of the RCOI, which are currently the subject of public consultation. </w:t>
      </w:r>
    </w:p>
    <w:p w14:paraId="4B60513C" w14:textId="77777777" w:rsidR="00CE219C" w:rsidRPr="00CE219C" w:rsidRDefault="00CE219C" w:rsidP="008B6142">
      <w:pPr>
        <w:pStyle w:val="H1G"/>
        <w:numPr>
          <w:ilvl w:val="0"/>
          <w:numId w:val="12"/>
        </w:numPr>
        <w:tabs>
          <w:tab w:val="clear" w:pos="851"/>
          <w:tab w:val="right" w:pos="567"/>
        </w:tabs>
        <w:ind w:left="1134" w:hanging="567"/>
        <w:rPr>
          <w:rFonts w:eastAsia="Times New Roman"/>
        </w:rPr>
      </w:pPr>
      <w:r w:rsidRPr="00CE219C">
        <w:lastRenderedPageBreak/>
        <w:t>Spain</w:t>
      </w:r>
      <w:r w:rsidRPr="00CE219C">
        <w:rPr>
          <w:rFonts w:eastAsia="Times New Roman"/>
        </w:rPr>
        <w:t xml:space="preserve"> </w:t>
      </w:r>
    </w:p>
    <w:p w14:paraId="4919598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of Spain provided information about the legislative measures taken to prevent and protect against racism, racial discrimination and related intolerance. According to this information, the Law against racism, racial discrimination, xenophobia and related forms of intolerance is currently being drafted and subject to public consultation. </w:t>
      </w:r>
    </w:p>
    <w:p w14:paraId="75B22F59"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In addition to measures taken to strengthen the national legal framework, the Government provided information about steps taken to prevent crimes and restore victims’ rights in cases of racial and/or ethnic discrimination. According to this information, the Government has undertaken work to strengthen the Service for Assistance and Guidance to Victims of Racial or Ethnic Discrimination. The annual reports of this Service contain disaggregated statistical data on cases of discrimination. This data informs national studies, such as the 2020 study entitled “Perception of discrimination based on racial or ethnic origin”. The Government of Spain also collaborates with the European Commission on the monitoring of online hate speech and has developed the REAL UP project to improve monitoring of all forms of hate speech, according to information provided. </w:t>
      </w:r>
    </w:p>
    <w:p w14:paraId="5FBDA4C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Government also provided information about the policy framework in place. According to the information provided, the Strategic Framework for Citizenship and Inclusion against Xenophobia and Racism (2021-2027) is currently being developed. </w:t>
      </w:r>
    </w:p>
    <w:p w14:paraId="75A20125"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According to the information provided, the Government of Spain has also undertaken a range of awareness raising activities. Events were held to mark the International Day for the Elimination of Racial Discrimination and the International Day of Remembrance of the Victims of Slavery and the Transatlantic Slave Trade, according to the information provided. </w:t>
      </w:r>
    </w:p>
    <w:p w14:paraId="6312E186" w14:textId="3513FA71" w:rsidR="00CE219C" w:rsidRPr="00CE219C" w:rsidRDefault="00CE219C" w:rsidP="008B6142">
      <w:pPr>
        <w:pStyle w:val="H1G"/>
        <w:numPr>
          <w:ilvl w:val="0"/>
          <w:numId w:val="12"/>
        </w:numPr>
        <w:tabs>
          <w:tab w:val="clear" w:pos="851"/>
          <w:tab w:val="right" w:pos="709"/>
        </w:tabs>
        <w:ind w:left="1134" w:hanging="567"/>
        <w:rPr>
          <w:rFonts w:eastAsia="Times New Roman"/>
        </w:rPr>
      </w:pPr>
      <w:r w:rsidRPr="00CE219C">
        <w:rPr>
          <w:rFonts w:eastAsia="Times New Roman"/>
        </w:rPr>
        <w:t xml:space="preserve">Russian </w:t>
      </w:r>
      <w:r w:rsidRPr="00CE219C">
        <w:t>Federation</w:t>
      </w:r>
      <w:r w:rsidRPr="00CE219C">
        <w:rPr>
          <w:rFonts w:eastAsia="Times New Roman"/>
        </w:rPr>
        <w:t xml:space="preserve">  </w:t>
      </w:r>
    </w:p>
    <w:p w14:paraId="6662BFE6" w14:textId="0FF85F92"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Government of the Russian Federation submitted detailed information about allegations of ethnic discrimination toward Russians in Western States since February 2022. According to the information provided, the most frequent violations include the refusal of services, including education, healthcare and banking, to those of Russian nationality; discriminatory measures targeting Russian businesses; the confiscation of and/or or deliberate damage to Russian property; the coercion of individuals to repent for and/or cond</w:t>
      </w:r>
      <w:r w:rsidR="0068480C">
        <w:rPr>
          <w:rFonts w:eastAsia="Times New Roman"/>
        </w:rPr>
        <w:t>emn</w:t>
      </w:r>
      <w:r w:rsidRPr="00CE219C">
        <w:rPr>
          <w:rFonts w:eastAsia="Times New Roman"/>
        </w:rPr>
        <w:t xml:space="preserve"> the actions of the Russian Government; the banning of those of Russian nationality from sporting events, competitions and cultural events; threats and insults against Russians; the eviction of Russian individuals in violation of lease agreements; and the dismissal of Russians from employment. </w:t>
      </w:r>
    </w:p>
    <w:p w14:paraId="1FEC8D85" w14:textId="329851B2" w:rsidR="00CE219C" w:rsidRPr="00CE219C" w:rsidRDefault="00CE219C" w:rsidP="00B246A0">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information provided by the Government also describes calls to exclude Russian cultural contributions from the global cultural heritage. In addition, school children who have Russian citizenship or who are of Russian origin have been subjected to humiliation and insults by their classmates and other manifestations of Russophobic attitudes, according to the information provided. </w:t>
      </w:r>
    </w:p>
    <w:p w14:paraId="50FDEB93" w14:textId="2514A2D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information submitted includes detailed examples of such allegations in Austria, the United Kingdom of </w:t>
      </w:r>
      <w:r w:rsidR="000A27C5">
        <w:rPr>
          <w:rFonts w:eastAsia="Times New Roman"/>
        </w:rPr>
        <w:t xml:space="preserve">Great </w:t>
      </w:r>
      <w:r w:rsidRPr="00CE219C">
        <w:rPr>
          <w:rFonts w:eastAsia="Times New Roman"/>
        </w:rPr>
        <w:t xml:space="preserve">Britain and Northern Ireland, Greece, Spain, Italy, Latvia, Lithuania, Canada, the Netherlands, Norway, Romania, the United States of America, the Ukraine, Germany, France, Sweden and Estonia. </w:t>
      </w:r>
    </w:p>
    <w:p w14:paraId="38435273" w14:textId="77777777" w:rsidR="00CE219C" w:rsidRPr="00CE219C" w:rsidRDefault="00CE219C" w:rsidP="008B6142">
      <w:pPr>
        <w:pStyle w:val="HChG"/>
        <w:tabs>
          <w:tab w:val="clear" w:pos="851"/>
          <w:tab w:val="right" w:pos="709"/>
        </w:tabs>
        <w:ind w:hanging="708"/>
        <w:rPr>
          <w:rFonts w:eastAsia="Times New Roman"/>
        </w:rPr>
      </w:pPr>
      <w:r w:rsidRPr="00CE219C">
        <w:rPr>
          <w:rFonts w:eastAsia="Times New Roman"/>
        </w:rPr>
        <w:tab/>
        <w:t>III.</w:t>
      </w:r>
      <w:r w:rsidRPr="00CE219C">
        <w:rPr>
          <w:rFonts w:eastAsia="Times New Roman"/>
        </w:rPr>
        <w:tab/>
      </w:r>
      <w:bookmarkStart w:id="4" w:name="_Hlk102727100"/>
      <w:r w:rsidRPr="00CE219C">
        <w:rPr>
          <w:rFonts w:eastAsia="Times New Roman"/>
        </w:rPr>
        <w:t xml:space="preserve">Review of relevant trends  </w:t>
      </w:r>
      <w:bookmarkEnd w:id="4"/>
    </w:p>
    <w:p w14:paraId="09BEDCC6"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In the present section, the Special Rapporteur presents an analysis of the key trends in the glorification of Nazism and related racism, xenophobia and intolerance that she has observed during the last five years of her mandate. </w:t>
      </w:r>
      <w:bookmarkStart w:id="5" w:name="_Hlk109821001"/>
      <w:r w:rsidRPr="00CE219C">
        <w:rPr>
          <w:rFonts w:eastAsia="Times New Roman"/>
        </w:rPr>
        <w:t xml:space="preserve">These trends are based upon the reports of the Special Rapporteur to the General Assembly and Human Rights Council. These reports include information provided by Member States and civil society organizations in submissions to the Special Rapporteur, which are available on her website. </w:t>
      </w:r>
    </w:p>
    <w:p w14:paraId="7A2846FB"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lastRenderedPageBreak/>
        <w:t xml:space="preserve">These trends are perceived as being inter-linked and mutually reinforcing. She reminds Member States of the complex, multi-faceted and pervasive nature of neo-Nazism and related racism, xenophobia and intolerance. She urges that strong commitment and sustained political will is required for Member States to fulfil their obligations under international law to tackle the increase in hate crimes and incitement to violence targeting ethnic, racial and religious minorities worldwide. </w:t>
      </w:r>
      <w:bookmarkEnd w:id="5"/>
    </w:p>
    <w:p w14:paraId="76380E15" w14:textId="717CBC47" w:rsidR="00CE219C" w:rsidRPr="00CE219C" w:rsidRDefault="00CE219C" w:rsidP="008B6142">
      <w:pPr>
        <w:pStyle w:val="H1G"/>
        <w:numPr>
          <w:ilvl w:val="0"/>
          <w:numId w:val="13"/>
        </w:numPr>
        <w:tabs>
          <w:tab w:val="clear" w:pos="851"/>
          <w:tab w:val="right" w:pos="567"/>
        </w:tabs>
        <w:ind w:left="1134" w:hanging="567"/>
      </w:pPr>
      <w:r w:rsidRPr="00CE219C">
        <w:t>The broadening of neo-Nazi groups to embrace white nationalists and right-wing populist movements</w:t>
      </w:r>
    </w:p>
    <w:p w14:paraId="5F81220E"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As was highlighted in the Special Rapporteur’s report to the thirty-eighth session of the Human Rights Council (A/HRC/38/53</w:t>
      </w:r>
      <w:r w:rsidRPr="00CE219C">
        <w:rPr>
          <w:rFonts w:eastAsia="Times New Roman"/>
          <w:vertAlign w:val="superscript"/>
        </w:rPr>
        <w:footnoteReference w:id="3"/>
      </w:r>
      <w:r w:rsidRPr="00CE219C">
        <w:rPr>
          <w:rFonts w:eastAsia="Times New Roman"/>
        </w:rPr>
        <w:t>), Neo-Nazism today regularly combines with other ideologies of racial superiority or hatred as a means of widening acceptance and strengthening its support base. The Special Rapporteur notes with concern the success of this strategy as suggested by growing support and acceptance of neo-Nazi ideology in an increasing number of countries.</w:t>
      </w:r>
    </w:p>
    <w:p w14:paraId="7804589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resurgence of neo-Nazism in contemporary times has much to do with the broadening of this movement to include and contribute to various networks of white supremacist, racist and xenophobic projects, especially the project of white nationalism, and other extreme right-wing ideologies. This broadening of neo-Nazism has made it more accessible, and by forging allegiances with other groups espousing ideologies of racial hatred and superiority — including ideologies of white nationalism — neo-Nazi groups have expanded their reach. As elucidated below, political leaders and even government officials at the highest level, have regrettably been complicit in this expansion.</w:t>
      </w:r>
    </w:p>
    <w:p w14:paraId="59C85D98" w14:textId="77777777" w:rsidR="00CE219C" w:rsidRPr="00CE219C" w:rsidRDefault="00CE219C" w:rsidP="008B6142">
      <w:pPr>
        <w:pStyle w:val="H1G"/>
        <w:numPr>
          <w:ilvl w:val="0"/>
          <w:numId w:val="13"/>
        </w:numPr>
        <w:tabs>
          <w:tab w:val="clear" w:pos="851"/>
          <w:tab w:val="right" w:pos="567"/>
        </w:tabs>
        <w:ind w:left="1134" w:hanging="567"/>
        <w:rPr>
          <w:rFonts w:eastAsia="Times New Roman"/>
        </w:rPr>
      </w:pPr>
      <w:r w:rsidRPr="00CE219C">
        <w:rPr>
          <w:rFonts w:eastAsia="Times New Roman"/>
        </w:rPr>
        <w:t xml:space="preserve">The </w:t>
      </w:r>
      <w:r w:rsidRPr="00CE219C">
        <w:t>increased</w:t>
      </w:r>
      <w:r w:rsidRPr="00CE219C">
        <w:rPr>
          <w:rFonts w:eastAsia="Times New Roman"/>
        </w:rPr>
        <w:t xml:space="preserve"> acceptance of neo-Nazi and related racism, xenophobia and intolerance within mainstream discourses and forums </w:t>
      </w:r>
    </w:p>
    <w:p w14:paraId="76BB730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As was also highlighted in the Special Rapporteur’s report to the thirty-eighth session of the Human Rights Council (A/HRC/38/53</w:t>
      </w:r>
      <w:r w:rsidRPr="00CE219C">
        <w:rPr>
          <w:rFonts w:eastAsia="Times New Roman"/>
          <w:vertAlign w:val="superscript"/>
        </w:rPr>
        <w:footnoteReference w:id="4"/>
      </w:r>
      <w:r w:rsidRPr="00CE219C">
        <w:rPr>
          <w:rFonts w:eastAsia="Times New Roman"/>
        </w:rPr>
        <w:t>), the Special Rapporteur expresses her deep concerns at the growing presence of expressions of Nazism, neo-Nazism and fascism in politics worldwide, especially in several European and North American countries. Neo-Nazi groups today are emboldened by prominent populist leaders who share their beliefs and espouse the same rhetoric as they do. Indeed, the rise of populism and, especially, right-wing, nationalist populism has, in some countries, aided the popularity of neo-Nazi ideologies and related racism, xenophobia and intolerances. Although many nationalist populist leaders in Europe, North America and Australia formally disavow neo-Nazi ideology, they nonetheless express support for racist and xenophobic tenets that are premised on similar ideologies of racial superiority that are at the core of neo-Nazi ideology. All theories of racial superiority, and all efforts to scapegoat persons on the basis of their race, ethnicity, national origin, sexual orientation or related status make the work of neo-Nazis easier. Even where neo-Nazis are not formally included in Government, the presence therein of extreme right-wing ideologues can have the effect of injecting into governance and political discourse the very same ideologies that make neo-Nazism so dangerous.</w:t>
      </w:r>
    </w:p>
    <w:p w14:paraId="1039839B"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Right-wing populism spreads and exploits antipathy towards ethnic, racial or religious minorities by accusing these groups of having co-opted political elites for their own advancement. Furthermore, as another Special Rapporteur has also noted, in times of great and ever increasing social, political and economic anxiety in the global North, it is among those who perceive themselves as the most marginalized (including among white majorities) that such antipathy can gain easy traction. To exploit the public’s dissatisfaction with, and </w:t>
      </w:r>
      <w:r w:rsidRPr="00CE219C">
        <w:rPr>
          <w:rFonts w:eastAsia="Times New Roman"/>
        </w:rPr>
        <w:lastRenderedPageBreak/>
        <w:t>fear and resentment of, the conditions of the State and personal circumstances, right-wing populists adopt and advance opinions and trends that are likely to fuel populist mobilization.</w:t>
      </w:r>
    </w:p>
    <w:p w14:paraId="097A88AF"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In sum, white supremacist and neo-Nazi ideologies have a symbiotic relationship with right-wing populism, each strengthening the other. By adopting the language and core ideas of these extreme ideologies, right-wing populists gain political power by mobilizing these groups to vote for them. In turn, when populist politicians gain mainstream success, white nationalist and neo-Nazi ideas become more socially acceptable. Emboldened by seeing leaders sympathetic to their cause in Government, white supremacists and neo-Nazis increasingly occupy public platforms and recruit new members.</w:t>
      </w:r>
    </w:p>
    <w:p w14:paraId="3CDA5DF8" w14:textId="77777777" w:rsidR="00CE219C" w:rsidRPr="00CE219C" w:rsidRDefault="00CE219C" w:rsidP="008B6142">
      <w:pPr>
        <w:pStyle w:val="H1G"/>
        <w:numPr>
          <w:ilvl w:val="0"/>
          <w:numId w:val="13"/>
        </w:numPr>
        <w:tabs>
          <w:tab w:val="clear" w:pos="851"/>
          <w:tab w:val="right" w:pos="567"/>
        </w:tabs>
        <w:ind w:left="1134" w:hanging="567"/>
        <w:rPr>
          <w:rFonts w:eastAsia="Times New Roman"/>
        </w:rPr>
      </w:pPr>
      <w:r w:rsidRPr="00CE219C">
        <w:rPr>
          <w:rFonts w:eastAsia="Times New Roman"/>
        </w:rPr>
        <w:t xml:space="preserve">The use of new technologies to further neo-Nazism and related racism, xenophobia and </w:t>
      </w:r>
      <w:r w:rsidRPr="00CE219C">
        <w:t>intolerance</w:t>
      </w:r>
      <w:r w:rsidRPr="00CE219C">
        <w:rPr>
          <w:rFonts w:eastAsia="Times New Roman"/>
        </w:rPr>
        <w:tab/>
      </w:r>
      <w:r w:rsidRPr="00CE219C">
        <w:rPr>
          <w:rFonts w:eastAsia="Times New Roman"/>
        </w:rPr>
        <w:tab/>
      </w:r>
    </w:p>
    <w:p w14:paraId="2053B602" w14:textId="77777777" w:rsidR="00CE219C" w:rsidRPr="00CE219C" w:rsidRDefault="00CE219C" w:rsidP="00CE219C">
      <w:pPr>
        <w:pStyle w:val="SingleTxtG"/>
        <w:numPr>
          <w:ilvl w:val="0"/>
          <w:numId w:val="6"/>
        </w:numPr>
        <w:pBdr>
          <w:top w:val="nil"/>
          <w:left w:val="nil"/>
          <w:bottom w:val="nil"/>
          <w:right w:val="nil"/>
          <w:between w:val="nil"/>
          <w:bar w:val="nil"/>
        </w:pBdr>
        <w:ind w:left="1134" w:firstLine="0"/>
        <w:rPr>
          <w:rFonts w:eastAsia="Times New Roman"/>
          <w:bCs/>
        </w:rPr>
      </w:pPr>
      <w:r w:rsidRPr="00CE219C">
        <w:rPr>
          <w:rFonts w:eastAsia="Times New Roman"/>
          <w:bCs/>
        </w:rPr>
        <w:t>In her report to the thirty-eighth session of the Human Rights Council (A/HRC/38/53</w:t>
      </w:r>
      <w:r w:rsidRPr="00CE219C">
        <w:rPr>
          <w:rFonts w:eastAsia="Times New Roman"/>
          <w:bCs/>
          <w:vertAlign w:val="superscript"/>
        </w:rPr>
        <w:footnoteReference w:id="5"/>
      </w:r>
      <w:r w:rsidRPr="00CE219C">
        <w:rPr>
          <w:rFonts w:eastAsia="Times New Roman"/>
          <w:bCs/>
        </w:rPr>
        <w:t>), the Special Rapporteur presented analysis on the use of new technologies to further neo-Nazism and related racism, xenophobia and intolerance. She noted, with alarm, that Neo-Nazis and white supremacist groups have taken advantage of new digital technologies and social platforms to promote their ideologies and arguments. Indeed, the Internet has made it easier for people to communicate, express their views and engage in debate across vast distances. The Internet has also provided groups espousing racial superiority and hatred with effective platforms for spreading their messages, organizing events and raising money. The anonymity provided by the Internet and social media allows people to express views that they would deny in public. Moreover, the interactivity of new social media platforms allows for the easier creation of virtual communities in which extremists can easily disseminate information to their target audiences.</w:t>
      </w:r>
    </w:p>
    <w:p w14:paraId="467A2612" w14:textId="77777777" w:rsidR="00CE219C" w:rsidRPr="00CE219C" w:rsidRDefault="00CE219C" w:rsidP="00CE219C">
      <w:pPr>
        <w:pStyle w:val="SingleTxtG"/>
        <w:numPr>
          <w:ilvl w:val="0"/>
          <w:numId w:val="6"/>
        </w:numPr>
        <w:pBdr>
          <w:top w:val="nil"/>
          <w:left w:val="nil"/>
          <w:bottom w:val="nil"/>
          <w:right w:val="nil"/>
          <w:between w:val="nil"/>
          <w:bar w:val="nil"/>
        </w:pBdr>
        <w:ind w:left="1134" w:firstLine="0"/>
        <w:rPr>
          <w:rFonts w:eastAsia="Times New Roman"/>
          <w:bCs/>
        </w:rPr>
      </w:pPr>
      <w:r w:rsidRPr="00CE219C">
        <w:rPr>
          <w:rFonts w:eastAsia="Times New Roman"/>
          <w:bCs/>
        </w:rPr>
        <w:t xml:space="preserve">The Internet, and social media in particular, have become a growing means through which neo-Nazi groups recruit followers. It is documented that hate groups such as these usually direct their recruitment efforts at targeting susceptible individuals, such as loners and children. Groups espousing racial superiority — including neo-Nazis — have increasingly targeted children and youth as recruits because they are typically more impressionable, may feel alone and marginal, and desire a sense of identity and group belonging. Some neo-Nazi websites are specifically tailored towards children, with the aim of their indoctrination. Neo-Nazi websites appeal to children through music, activities, games, “memes” and cartoon characters on their websites. Indeed, even video games exist that are devoted to propagating ideologies of racial superiority and racial hatred. </w:t>
      </w:r>
    </w:p>
    <w:p w14:paraId="571354FB" w14:textId="77777777" w:rsidR="00CE219C" w:rsidRPr="00CE219C" w:rsidRDefault="00CE219C" w:rsidP="00CE219C">
      <w:pPr>
        <w:pStyle w:val="SingleTxtG"/>
        <w:numPr>
          <w:ilvl w:val="0"/>
          <w:numId w:val="6"/>
        </w:numPr>
        <w:pBdr>
          <w:top w:val="nil"/>
          <w:left w:val="nil"/>
          <w:bottom w:val="nil"/>
          <w:right w:val="nil"/>
          <w:between w:val="nil"/>
          <w:bar w:val="nil"/>
        </w:pBdr>
        <w:ind w:left="1134" w:firstLine="0"/>
        <w:rPr>
          <w:rFonts w:eastAsia="Times New Roman"/>
          <w:bCs/>
        </w:rPr>
      </w:pPr>
      <w:r w:rsidRPr="00CE219C">
        <w:rPr>
          <w:rFonts w:eastAsia="Times New Roman"/>
          <w:bCs/>
        </w:rPr>
        <w:t>In addition to recruitment, neo-Nazis and other hate groups also use digital platforms to incite hatred and violence on racial, ethnic, religious and related grounds. The ease and rapidity with which information can now be shared online, especially through social media platforms, means these platforms have now become arguably the most frequent sites of hate speech, and even incitement to violence. These platforms have facilitated the global transmission of harmful stereotypes against stigmatized groups targeted by groups such as neo-Nazis. Such stereotypes and related propaganda make violence against targeted groups more acceptable and arguably more likely. In addition, neo-Nazi and related groups have also relied on online platforms to plan and circulate information about public events that range from demonstrations to acts of violence, including targeting groups and individuals on the basis of race, ethnicity, national origin, religion, gender, sexual orientation and related grounds. As outlined in the Special Rapporteur’s report to the 75</w:t>
      </w:r>
      <w:r w:rsidRPr="00CE219C">
        <w:rPr>
          <w:rFonts w:eastAsia="Times New Roman"/>
          <w:bCs/>
          <w:vertAlign w:val="superscript"/>
        </w:rPr>
        <w:t>th</w:t>
      </w:r>
      <w:r w:rsidRPr="00CE219C">
        <w:rPr>
          <w:rFonts w:eastAsia="Times New Roman"/>
          <w:bCs/>
        </w:rPr>
        <w:t xml:space="preserve"> session of the General Assembly (A/75/329</w:t>
      </w:r>
      <w:r w:rsidRPr="00CE219C">
        <w:rPr>
          <w:rFonts w:eastAsia="Times New Roman"/>
          <w:bCs/>
          <w:vertAlign w:val="superscript"/>
        </w:rPr>
        <w:footnoteReference w:id="6"/>
      </w:r>
      <w:r w:rsidRPr="00CE219C">
        <w:rPr>
          <w:rFonts w:eastAsia="Times New Roman"/>
          <w:bCs/>
        </w:rPr>
        <w:t xml:space="preserve">), the COVID-19 pandemic and its racialized harm, discussed further below, exacerbated these trends, as more of people’s everyday lives were played out online. </w:t>
      </w:r>
    </w:p>
    <w:p w14:paraId="1BB01639" w14:textId="77777777" w:rsidR="00CE219C" w:rsidRPr="00CE219C" w:rsidRDefault="00CE219C" w:rsidP="008B6142">
      <w:pPr>
        <w:pStyle w:val="H1G"/>
        <w:numPr>
          <w:ilvl w:val="0"/>
          <w:numId w:val="13"/>
        </w:numPr>
        <w:tabs>
          <w:tab w:val="clear" w:pos="851"/>
          <w:tab w:val="right" w:pos="567"/>
        </w:tabs>
        <w:ind w:left="1134" w:hanging="567"/>
        <w:rPr>
          <w:rFonts w:eastAsia="Times New Roman"/>
        </w:rPr>
      </w:pPr>
      <w:r w:rsidRPr="00CE219C">
        <w:rPr>
          <w:rFonts w:eastAsia="Times New Roman"/>
        </w:rPr>
        <w:lastRenderedPageBreak/>
        <w:t xml:space="preserve">The </w:t>
      </w:r>
      <w:r w:rsidRPr="00CE219C">
        <w:t>recruitment</w:t>
      </w:r>
      <w:r w:rsidRPr="00CE219C">
        <w:rPr>
          <w:rFonts w:eastAsia="Times New Roman"/>
        </w:rPr>
        <w:t xml:space="preserve"> of young people</w:t>
      </w:r>
    </w:p>
    <w:p w14:paraId="4D5157E8"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As outlined in the Special Rapporteur’s reports to the thirty-eighth and forty-first session of the Human Rights Council (A/HRC/38/53</w:t>
      </w:r>
      <w:r w:rsidRPr="00CE219C">
        <w:rPr>
          <w:rFonts w:eastAsia="Times New Roman"/>
          <w:vertAlign w:val="superscript"/>
        </w:rPr>
        <w:footnoteReference w:id="7"/>
      </w:r>
      <w:r w:rsidRPr="00CE219C">
        <w:rPr>
          <w:rFonts w:eastAsia="Times New Roman"/>
        </w:rPr>
        <w:t xml:space="preserve"> &amp; A/HRC/41/55</w:t>
      </w:r>
      <w:r w:rsidRPr="00CE219C">
        <w:rPr>
          <w:rFonts w:eastAsia="Times New Roman"/>
          <w:vertAlign w:val="superscript"/>
        </w:rPr>
        <w:footnoteReference w:id="8"/>
      </w:r>
      <w:r w:rsidRPr="00CE219C">
        <w:rPr>
          <w:rFonts w:eastAsia="Times New Roman"/>
        </w:rPr>
        <w:t xml:space="preserve">), various forms of new technology are used to recruit individuals to neo-Nazi and associated ideologies. Such practices, as well as other recruitment techniques, can have a disproportionate impact on young people, particularly those with vulnerable social situations. </w:t>
      </w:r>
    </w:p>
    <w:p w14:paraId="44A638E5"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Research shows that the typical neo-Nazi or hate group follower is generally young, white and male. Religion, economic class, education and social status are also salient factors. It is important to note, however, that no meaningful psychological profile exists for predicting whether a person will have an inclination towards terrorism. Furthermore, research shows that no one is born with personality traits that define a person as inclined towards extremism or terrorism. Relevant socioenvironmental factors may include poverty; a lack of education and employment opportunities, technical skills and family support; alienation; and dysfunctional family relationships.</w:t>
      </w:r>
    </w:p>
    <w:p w14:paraId="37E18C53"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In the literature on the psychology of extremism, a broad consensus has emerged that social situational factors – not personal traits – determine extremist behaviour. Factors such as social identity formation, acculturation, social influence and normative pressure from group membership strongly affect psychologically vulnerable individuals. Social networks can determine individual choices, including whether to engage in pro- or antisocial behaviour. Studies show that young people’s motives to join hate groups are not primarily ideological or political. They were linked rather to social and emotional reasons and the search for affiliation, protection, acknowledgement and adventure.</w:t>
      </w:r>
    </w:p>
    <w:p w14:paraId="62D10B8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In several studies examining non-ideological risk factors, former neo-Nazis or white supremacists who predominantly joined hate groups as children reported experiencing one or more of the following adverse environmental conditions: childhood physical abuse, childhood or adolescent sexual abuse, emotional and physical neglect, parental incarceration, parental abandonment, the witnessing of serious violence (domestic and/or neighbourhood) and/or family disruption (for example, divorced or deceased parents). Several psychological studies have shown that events of this sort may contribute to an increased likelihood of neo-Nazi and related extremist radicalization.</w:t>
      </w:r>
    </w:p>
    <w:p w14:paraId="08B4A09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above-mentioned factors help explain the circumstances of youth recruitment, but should by no means be understood to excuse or exonerate extremism and those who participate in neo-Nazi and related supremacist activities. Today, sociologists generally approach neo-Nazi and related movements as social movements that bring together those sharing a common ideology. Movements committed to racist and xenophobic ideology exploit the psychological and socioenvironmental factors described above to successfully target youth.</w:t>
      </w:r>
    </w:p>
    <w:p w14:paraId="1481E3E7"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As elucidated in the Special Rapporteur’s report to the forty-first session of the Human Rights Council (A/HRC/41/55</w:t>
      </w:r>
      <w:r w:rsidRPr="00CE219C">
        <w:rPr>
          <w:rFonts w:eastAsia="Times New Roman"/>
          <w:vertAlign w:val="superscript"/>
        </w:rPr>
        <w:footnoteReference w:id="9"/>
      </w:r>
      <w:r w:rsidRPr="00CE219C">
        <w:rPr>
          <w:rFonts w:eastAsia="Times New Roman"/>
        </w:rPr>
        <w:t>), information and data available about the implication of young people in violent extremism mainly focuses on Islamist extremism. Very little information is available about counter-extremism programmes focusing on far-right or neo-Nazi extremism. Despite the rise in neo-Nazi and white supremacist extremism, only a few States in the European region and North America have addressed radicalization and recruitment by hate groups in national strategies to counter terrorism, which are largely focused on Islamist extremism.</w:t>
      </w:r>
    </w:p>
    <w:p w14:paraId="5610D1FC" w14:textId="77777777" w:rsidR="00CE219C" w:rsidRPr="00CE219C" w:rsidRDefault="00CE219C" w:rsidP="008B6142">
      <w:pPr>
        <w:pStyle w:val="H1G"/>
        <w:numPr>
          <w:ilvl w:val="0"/>
          <w:numId w:val="13"/>
        </w:numPr>
        <w:tabs>
          <w:tab w:val="clear" w:pos="851"/>
          <w:tab w:val="right" w:pos="567"/>
        </w:tabs>
        <w:ind w:left="1134" w:hanging="567"/>
        <w:rPr>
          <w:rFonts w:eastAsia="Times New Roman"/>
        </w:rPr>
      </w:pPr>
      <w:bookmarkStart w:id="6" w:name="_Hlk111626680"/>
      <w:r w:rsidRPr="00CE219C">
        <w:rPr>
          <w:rFonts w:eastAsia="Times New Roman"/>
        </w:rPr>
        <w:lastRenderedPageBreak/>
        <w:t>An upsurge of antisemitism in Europe and North America</w:t>
      </w:r>
    </w:p>
    <w:bookmarkEnd w:id="6"/>
    <w:p w14:paraId="5E548BCF"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contemporary strengthening of neo-Nazism, as described above, has had grave social consequences, including violent acts by groups connected to this movement and who share related ideologies of racial superiority and hatred. In Europe and North America especially, there have been dramatic increases in antisemitic incidents tied to neo-Nazi groups and affiliated white supremacist and white nationalist groups. Incidents of violence were perpetrated in countries across Europe and beyond. Contemporary iterations of Nazi ideology have grown in their traditional strongholds and in some cases expanded beyond them, posing a threat to racial equality in different parts of the world.</w:t>
      </w:r>
    </w:p>
    <w:p w14:paraId="6C84672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upsurge of antisemitism preceded the COVID-19 pandemic, but such disturbing patterns intersected with the general trend seen whereby discussion of the origin and propagation of COVID-19 became a vector for various forms of hatred.  As highlighted in the Special Rapporteur’s report to the 75th session of the General Assembly (A/75/329</w:t>
      </w:r>
      <w:r w:rsidRPr="00CE219C">
        <w:rPr>
          <w:rFonts w:eastAsia="Times New Roman"/>
          <w:vertAlign w:val="superscript"/>
        </w:rPr>
        <w:footnoteReference w:id="10"/>
      </w:r>
      <w:r w:rsidRPr="00CE219C">
        <w:rPr>
          <w:rFonts w:eastAsia="Times New Roman"/>
        </w:rPr>
        <w:t>) global antisemitic rhetoric online and offline falsely identified Jews as having manufactured or spread the coronavirus to advance global control. Stigmatization and conspiracy theories exploit historical tropes of racialized fears of disease. For example, as far back as the fourteenth century, Jews were falsely accused of poisoning wells to spread bubonic plague. In a similar vein, reports submitted to inform the Special Rapporteur’s report (A/75/329</w:t>
      </w:r>
      <w:r w:rsidRPr="00CE219C">
        <w:rPr>
          <w:rFonts w:eastAsia="Times New Roman"/>
          <w:vertAlign w:val="superscript"/>
        </w:rPr>
        <w:footnoteReference w:id="11"/>
      </w:r>
      <w:r w:rsidRPr="00CE219C">
        <w:rPr>
          <w:rFonts w:eastAsia="Times New Roman"/>
        </w:rPr>
        <w:t xml:space="preserve">) described an explosion of antisemitic conspiracy theories that began to populate social media as soon as news emerged of a dangerous new virus spreading across the world. </w:t>
      </w:r>
    </w:p>
    <w:p w14:paraId="2E772787"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News outlets and social media platforms worldwide reported variations of antisemitic conspiracy theories. Attacks on Jewish religious sites, assaults on Jewish individuals, attempts to deliberately infect Jewish individuals with COVID-19 and violent threats against Jewish individuals on social media were also reported, as described in the Special Rapporteur’s report (A/75/329</w:t>
      </w:r>
      <w:r w:rsidRPr="00CE219C">
        <w:rPr>
          <w:rFonts w:eastAsia="Times New Roman"/>
          <w:vertAlign w:val="superscript"/>
        </w:rPr>
        <w:footnoteReference w:id="12"/>
      </w:r>
      <w:r w:rsidRPr="00CE219C">
        <w:rPr>
          <w:rFonts w:eastAsia="Times New Roman"/>
        </w:rPr>
        <w:t xml:space="preserve">). </w:t>
      </w:r>
    </w:p>
    <w:p w14:paraId="6AD71A88" w14:textId="77777777" w:rsidR="00CE219C" w:rsidRPr="00CE219C" w:rsidRDefault="00CE219C" w:rsidP="008B6142">
      <w:pPr>
        <w:pStyle w:val="H1G"/>
        <w:numPr>
          <w:ilvl w:val="0"/>
          <w:numId w:val="13"/>
        </w:numPr>
        <w:tabs>
          <w:tab w:val="clear" w:pos="851"/>
          <w:tab w:val="right" w:pos="567"/>
        </w:tabs>
        <w:ind w:left="1134" w:hanging="567"/>
        <w:rPr>
          <w:rFonts w:eastAsia="Times New Roman"/>
        </w:rPr>
      </w:pPr>
      <w:r w:rsidRPr="00CE219C">
        <w:rPr>
          <w:rFonts w:eastAsia="Times New Roman"/>
        </w:rPr>
        <w:t xml:space="preserve">Anti-Asian and anti-black racism, Islamophobia, and attacks on non-nationals, in relation to </w:t>
      </w:r>
      <w:r w:rsidRPr="00CE219C">
        <w:t>the</w:t>
      </w:r>
      <w:r w:rsidRPr="00CE219C">
        <w:rPr>
          <w:rFonts w:eastAsia="Times New Roman"/>
        </w:rPr>
        <w:t xml:space="preserve"> origin and propagation of COVID-19</w:t>
      </w:r>
    </w:p>
    <w:p w14:paraId="5921BDE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Special Rapporteur additionally highlighted the impacts of the COVID-19 pandemic on other group affected by racism and related intolerance in her report to the 75th session of the General Assembly (A/75/329</w:t>
      </w:r>
      <w:r w:rsidRPr="00CE219C">
        <w:rPr>
          <w:rFonts w:eastAsia="Times New Roman"/>
          <w:vertAlign w:val="superscript"/>
        </w:rPr>
        <w:footnoteReference w:id="13"/>
      </w:r>
      <w:r w:rsidRPr="00CE219C">
        <w:rPr>
          <w:rFonts w:eastAsia="Times New Roman"/>
        </w:rPr>
        <w:t xml:space="preserve">). The rise in antisemitism, linked to the COVID-19 pandemic, described above, must be understood in the context of broad and rampant racism and other forms of hatred and intolerance affecting other groups as well. Extremists were ready and able to exploit the fear and confusion that accompanied the pandemic, particularly in its early stages. </w:t>
      </w:r>
    </w:p>
    <w:p w14:paraId="4C40C9F0"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coronavirus pandemic exposed interlinking crises that have been hiding in plain sight: a public health disaster, and ethnonationalist rhetoric and politics – the latter driving impacts of and responses to the former. It laid bare how dangerous climates of intolerance, racialized and religious suspicion and fear can be to the social fabric that sustains prosperous and safe communities. As populist regimes and extremists exploit and fuel anxieties about the pandemic, it has become increasingly clear how and why ethnonationalism is not just a fringe problem; it affects the very structures that are supposed to undergird liberal institutions.</w:t>
      </w:r>
    </w:p>
    <w:p w14:paraId="6C8FCCBC" w14:textId="77777777" w:rsidR="00CE219C" w:rsidRPr="00CE219C" w:rsidRDefault="00CE219C" w:rsidP="00B246A0">
      <w:pPr>
        <w:pStyle w:val="SingleTxtG"/>
        <w:pBdr>
          <w:top w:val="nil"/>
          <w:left w:val="nil"/>
          <w:bottom w:val="nil"/>
          <w:right w:val="nil"/>
          <w:between w:val="nil"/>
          <w:bar w:val="nil"/>
        </w:pBdr>
        <w:spacing w:line="240" w:lineRule="exact"/>
        <w:rPr>
          <w:rFonts w:eastAsia="Times New Roman"/>
        </w:rPr>
      </w:pPr>
    </w:p>
    <w:p w14:paraId="63AE2C40"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lastRenderedPageBreak/>
        <w:t>Submissions for the Special Rapporteur’s report (A/75/329</w:t>
      </w:r>
      <w:r w:rsidRPr="00CE219C">
        <w:rPr>
          <w:rFonts w:eastAsia="Times New Roman"/>
          <w:vertAlign w:val="superscript"/>
        </w:rPr>
        <w:footnoteReference w:id="14"/>
      </w:r>
      <w:r w:rsidRPr="00CE219C">
        <w:rPr>
          <w:rFonts w:eastAsia="Times New Roman"/>
        </w:rPr>
        <w:t xml:space="preserve">) and countless news and human rights reports have been rife with examples of the widespread discrimination, harassment and assault – online and physical – against persons of Chinese or Asian descent. </w:t>
      </w:r>
    </w:p>
    <w:p w14:paraId="7705C855"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Politicians also exploited and fuelled anxieties about the COVID-19 pandemic. For example, in what was an all-too-familiar attempt to normalize xenophobia and racism as reasonable reactions to COVID-19, some dubbed it the “Wuhan flu” or the “China flu”. </w:t>
      </w:r>
    </w:p>
    <w:p w14:paraId="3484759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As already noted, such racist tropes and disinformation feed into pre-existing and underlying biases or prejudices, and has not been limited to East Asians and Jews. As described in the Special Rapporteur’s report (A/75/329), incidences of Islamophobia, anti-Roma sentiments and discrimination against Palestinians in the context of the COVID-19 pandemic were also reported.  </w:t>
      </w:r>
    </w:p>
    <w:p w14:paraId="6AC41237"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manifestations of racism, xenophobia and related intolerances during the pandemic undermined effective public health responses. The ubiquitous antisemitic conspiracy theories and neo-Nazi and other ethnonationalist fear-mongering and hatred had a grave impact on the ability to mitigate the spread of the COVID-19 virus. A study undertaken in 2020 showed that people who hold COVID-19 conspiracy beliefs are less likely to comply with social distancing guidelines or take up future vaccines. </w:t>
      </w:r>
    </w:p>
    <w:p w14:paraId="1C44245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Special Rapporteur wishes to highlight that the COVID-19 pandemic has not ended and that the damage to the social fabric that it caused persists. She also stresses the need to learn lessons from the COVID-19 pandemic in order to prevent similar racism, Islamophobia, antisemitism and xenophobia in the context of future public health and other emergencies. </w:t>
      </w:r>
    </w:p>
    <w:p w14:paraId="7D33AA85" w14:textId="77777777" w:rsidR="00CE219C" w:rsidRPr="00CE219C" w:rsidRDefault="00CE219C" w:rsidP="008B6142">
      <w:pPr>
        <w:pStyle w:val="H1G"/>
        <w:numPr>
          <w:ilvl w:val="0"/>
          <w:numId w:val="13"/>
        </w:numPr>
        <w:tabs>
          <w:tab w:val="clear" w:pos="851"/>
          <w:tab w:val="right" w:pos="567"/>
        </w:tabs>
        <w:ind w:left="1134" w:hanging="567"/>
        <w:rPr>
          <w:rFonts w:eastAsia="Times New Roman"/>
          <w:bCs/>
        </w:rPr>
      </w:pPr>
      <w:r w:rsidRPr="00CE219C">
        <w:rPr>
          <w:rFonts w:eastAsia="Times New Roman"/>
          <w:bCs/>
        </w:rPr>
        <w:t xml:space="preserve">The </w:t>
      </w:r>
      <w:r w:rsidRPr="00CE219C">
        <w:t>instrumentalization</w:t>
      </w:r>
      <w:r w:rsidRPr="00CE219C">
        <w:rPr>
          <w:rFonts w:eastAsia="Times New Roman"/>
          <w:bCs/>
        </w:rPr>
        <w:t xml:space="preserve"> of the standards and tools designed to address neo-Nazism, antisemitism and related racism, xenophobia and intolerance </w:t>
      </w:r>
    </w:p>
    <w:p w14:paraId="4221ACFF"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Special Rapporteur interprets resolution 76/149, and other relevant international standards and tools as seeking the genuine protection of groups and individuals subject to human rights violations rooted in neo-Nazism. The Special Rapporteur has regrettably noted a trend whereby various actors have instrumentalized different human rights standards and tools resulting in repression of human rights. The Special Rapporteur is deeply alarmed by this trend because it undermines serious attempts to address neo-Nazism and related racism, xenophobia and intolerance. Moreover, it can obscure the oppression of groups affected by human rights violations, often also rooted in Neo-Nazism, racism, xenophobia and related intolerance. Universality is a foundational principle of international human rights law and the rights of one group cannot be instrumentalised to deny the human rights of others. </w:t>
      </w:r>
    </w:p>
    <w:p w14:paraId="20F69612"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As was underscored in the Special Rapporteur’s report to the fiftieth session of the Human Rights Council (A/HRC/50/61</w:t>
      </w:r>
      <w:r w:rsidRPr="00CE219C">
        <w:rPr>
          <w:rFonts w:eastAsia="Times New Roman"/>
          <w:vertAlign w:val="superscript"/>
        </w:rPr>
        <w:footnoteReference w:id="15"/>
      </w:r>
      <w:r w:rsidRPr="00CE219C">
        <w:rPr>
          <w:rFonts w:eastAsia="Times New Roman"/>
        </w:rPr>
        <w:t>), she notes, with alarm, that the Russian Federation has sought to justify its military invasion and territorial aggression in Ukraine on the purported basis of eliminating neo-Nazism. This is a blatant instrumentalization of the serious human rights concerns raised by neo-Nazi mobilizations where they exist. Pretextual use of neo-Nazism to justify territorial aggression seriously undermines genuine attempts to combat neo-Nazism. As such, the Special Rapporteur denounces and condemns in the strongest terms such pretextual use, including in relation to the unlawful breach of the sovereign territory of Ukraine and the humanitarian crisis that breach has caused.</w:t>
      </w:r>
    </w:p>
    <w:p w14:paraId="2EE7E57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Special Rapporteur also calls attention to the politically motivated instrumentalization of the fight against antisemitism, which is increasingly linked to the adoption, promotion and implementation by States of the International Holocaust Remembrance Alliance Working Definition of Antisemitism (“IHRA-WDA”). While </w:t>
      </w:r>
      <w:r w:rsidRPr="00CE219C">
        <w:rPr>
          <w:rFonts w:eastAsia="Times New Roman"/>
        </w:rPr>
        <w:lastRenderedPageBreak/>
        <w:t xml:space="preserve">reiterating the urgent need for member states to remain committed to fighting antisemitism in all its manifestations, she urges greater attention and care to the implications of tools used in that context. Specifically, she calls on member states to ensure that all measures taken and instruments relied upon are fully compliant with and supportive of broader international human rights law norms. </w:t>
      </w:r>
    </w:p>
    <w:p w14:paraId="1159DCA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Notwithstanding the political endorsement of the IHRA-WDA across Europe and in North America, the IHRA-WDA has become highly controversial and divisive due to its susceptibility to be politically instrumentalized and the harm done to human rights resulting from such instrumentalization.</w:t>
      </w:r>
      <w:r w:rsidRPr="00CE219C">
        <w:rPr>
          <w:rFonts w:eastAsia="Times New Roman"/>
          <w:vertAlign w:val="superscript"/>
        </w:rPr>
        <w:footnoteReference w:id="16"/>
      </w:r>
      <w:r w:rsidRPr="00CE219C">
        <w:rPr>
          <w:rFonts w:eastAsia="Times New Roman"/>
          <w:vertAlign w:val="superscript"/>
        </w:rPr>
        <w:t xml:space="preserve"> </w:t>
      </w:r>
      <w:r w:rsidRPr="00CE219C">
        <w:rPr>
          <w:rFonts w:eastAsia="Times New Roman"/>
        </w:rPr>
        <w:t>As a result, the Special Rapporteur cautions against reliance on the IHRA-WDA as a guiding instrument for and at the UN and its constituent entities.</w:t>
      </w:r>
    </w:p>
    <w:p w14:paraId="3F7363F0"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Besides its adverse impact on the human rights of minorities and vulnerable groups, including Jews, the IHRA-WDA is highly contested among world-renowned scholars of antisemitism and related academic fields.</w:t>
      </w:r>
      <w:r w:rsidRPr="00CE219C">
        <w:rPr>
          <w:rFonts w:eastAsia="Times New Roman"/>
          <w:vertAlign w:val="superscript"/>
        </w:rPr>
        <w:footnoteReference w:id="17"/>
      </w:r>
      <w:r w:rsidRPr="00CE219C">
        <w:rPr>
          <w:rFonts w:eastAsia="Times New Roman"/>
        </w:rPr>
        <w:t xml:space="preserve"> About 350 leading scholars support an alternative definition of antisemitism in the Jerusalem Declaration on Antisemitism (“JDA”), warning that the IHRA-WDA is “unclear in key respects and widely open to different interpretations”, which “has caused confusion and generated controversy, hence weakening the fight against antisemitism”.</w:t>
      </w:r>
      <w:r w:rsidRPr="00CE219C">
        <w:rPr>
          <w:rFonts w:eastAsia="Times New Roman"/>
          <w:vertAlign w:val="superscript"/>
        </w:rPr>
        <w:footnoteReference w:id="18"/>
      </w:r>
      <w:r w:rsidRPr="00CE219C">
        <w:rPr>
          <w:rFonts w:eastAsia="Times New Roman"/>
        </w:rPr>
        <w:t xml:space="preserve"> Signatories of the JDA include international scholars of antisemitism, among them, preeminent Jewish scholars of antisemitism, as well as scholars in related fields such as Jewish, Holocaust, Israel, Palestine and Middle East Studies.</w:t>
      </w:r>
    </w:p>
    <w:p w14:paraId="48CDC388"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IHRA-WDA is largely instrumentalized based on eleven “contemporary examples of antisemitism” attached to it, seven of which relate to the State of Israel. Some of these examples are being invoked and leveraged to suppress fundamental human rights to freedom of expression, assembly, and political participation, as well as human rights to equality and non-discrimination.</w:t>
      </w:r>
      <w:r w:rsidRPr="00CE219C">
        <w:rPr>
          <w:rFonts w:eastAsia="Times New Roman"/>
          <w:vertAlign w:val="superscript"/>
        </w:rPr>
        <w:footnoteReference w:id="19"/>
      </w:r>
      <w:r w:rsidRPr="00CE219C">
        <w:rPr>
          <w:rFonts w:eastAsia="Times New Roman"/>
        </w:rPr>
        <w:t xml:space="preserve"> </w:t>
      </w:r>
    </w:p>
    <w:p w14:paraId="18D30DFA"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Although the IHRA-WDA is promoted as “non-legally binding”, its de facto influence on the policy and practice of governments and private actors has contributed to violations of human rights of freedom of expression, assembly, and political participation, among others.</w:t>
      </w:r>
      <w:r w:rsidRPr="00CE219C">
        <w:rPr>
          <w:rFonts w:eastAsia="Times New Roman"/>
          <w:vertAlign w:val="superscript"/>
        </w:rPr>
        <w:footnoteReference w:id="20"/>
      </w:r>
      <w:r w:rsidRPr="00CE219C">
        <w:rPr>
          <w:rFonts w:eastAsia="Times New Roman"/>
        </w:rPr>
        <w:t xml:space="preserve"> The Special Rapporteur observes that it is precisely the IHRA-WDA’s ‘soft law’ status, which effectively helps undermine certain co-existent rights, without offering any remedy or means to legally challenge such violations. Indeed, even Kenneth Stern, the lead drafter of </w:t>
      </w:r>
      <w:r w:rsidRPr="00CE219C">
        <w:rPr>
          <w:rFonts w:eastAsia="Times New Roman"/>
        </w:rPr>
        <w:lastRenderedPageBreak/>
        <w:t>the IHRA-WDA, has publicly denounced the instrumentalization of the IHRA-WDA, including to the detriment of freedom of expression on university campuses.</w:t>
      </w:r>
      <w:r w:rsidRPr="00CE219C">
        <w:rPr>
          <w:rFonts w:eastAsia="Times New Roman"/>
          <w:vertAlign w:val="superscript"/>
        </w:rPr>
        <w:footnoteReference w:id="21"/>
      </w:r>
      <w:r w:rsidRPr="00CE219C">
        <w:rPr>
          <w:rFonts w:eastAsia="Times New Roman"/>
        </w:rPr>
        <w:t xml:space="preserve"> </w:t>
      </w:r>
    </w:p>
    <w:p w14:paraId="73CBF3E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IHRA-WDA and the illustrative examples attached to it are wielded to prevent or chill legitimate criticisms of the State of Israel, a state that must, like any other in the UN system, be accountable for human rights violations it perpetrates. Those primarily harmed as a result are Palestinians, as well as human rights defenders advocating on their behalf. This harm is occurring in a period of heightened repression of Palestinians, including escalating, daily, gross violations of their human rights.</w:t>
      </w:r>
      <w:r w:rsidRPr="00CE219C">
        <w:rPr>
          <w:rFonts w:eastAsia="Times New Roman"/>
          <w:vertAlign w:val="superscript"/>
        </w:rPr>
        <w:footnoteReference w:id="22"/>
      </w:r>
      <w:r w:rsidRPr="00CE219C">
        <w:rPr>
          <w:rFonts w:eastAsia="Times New Roman"/>
        </w:rPr>
        <w:t xml:space="preserve"> </w:t>
      </w:r>
    </w:p>
    <w:p w14:paraId="7259CF9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UN member states and UN officials should firmly reject and act responsibly to end the political instrumentalization of the fight against antisemitism. Apart from preventing further resulting harm to Palestinians and human rights defenders, they should do so in the interest of fighting antisemitism in an effective and inclusive way and to protect Jewish persons and groups harmed by such instrumentalization.</w:t>
      </w:r>
      <w:r w:rsidRPr="00CE219C">
        <w:rPr>
          <w:rFonts w:eastAsia="Times New Roman"/>
          <w:vertAlign w:val="superscript"/>
        </w:rPr>
        <w:footnoteReference w:id="23"/>
      </w:r>
      <w:r w:rsidRPr="00CE219C">
        <w:rPr>
          <w:rFonts w:eastAsia="Times New Roman"/>
        </w:rPr>
        <w:t xml:space="preserve"> </w:t>
      </w:r>
    </w:p>
    <w:p w14:paraId="7A7CF345"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In view of the controversial status and divisive effect of the IHRA-WDA and its negative impact on human rights, the Special Rapporteur on Contemporary Forms of Racial Discrimination, Xenophobia and related intolerance respectfully calls on UN member states to suspend adoption and promotion of the IHRA-WDA and the examples attached to it. In this context, she reminds states that the urgency of combatting antisemitism has been a cause she has consistently championed during her tenure in both thematic and country reports.</w:t>
      </w:r>
      <w:r w:rsidRPr="00CE219C">
        <w:rPr>
          <w:rFonts w:eastAsia="Times New Roman"/>
          <w:vertAlign w:val="superscript"/>
        </w:rPr>
        <w:footnoteReference w:id="24"/>
      </w:r>
      <w:r w:rsidRPr="00CE219C">
        <w:rPr>
          <w:rFonts w:eastAsia="Times New Roman"/>
        </w:rPr>
        <w:t xml:space="preserve"> </w:t>
      </w:r>
    </w:p>
    <w:p w14:paraId="268D992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Precisely because the scourge of antisemitism remains an urgent issue of human rights concern, the Special Rapporteur urges the UN system and UN member states urgently to launch an open and inclusive process to identify an enhanced response to antisemitism by the UN consistently rooted in and supportive of human rights. This process should consider multiple instruments relevant to fighting antisemitism and involve, among others, impacted communities, including other experts and relevant stakeholders excluded so far, as well as UN Special Procedures mandate holders. She stresses that the elimination of the scourge of antisemitism must be, as part of the fight against any forms of bigotry and discrimination, grounded in international law, including </w:t>
      </w:r>
      <w:r w:rsidRPr="00CE219C">
        <w:rPr>
          <w:rFonts w:eastAsia="Times New Roman"/>
          <w:i/>
          <w:iCs/>
        </w:rPr>
        <w:t>inter alia</w:t>
      </w:r>
      <w:r w:rsidRPr="00CE219C">
        <w:rPr>
          <w:rFonts w:eastAsia="Times New Roman"/>
        </w:rPr>
        <w:t xml:space="preserve"> the International Covenant on Civil and Political Rights, the International Convention on the Elimination of Racial Discrimination and the Durban Declaration and Programme of Action.</w:t>
      </w:r>
      <w:r w:rsidRPr="00CE219C">
        <w:rPr>
          <w:rFonts w:eastAsia="Times New Roman"/>
          <w:vertAlign w:val="superscript"/>
        </w:rPr>
        <w:footnoteReference w:id="25"/>
      </w:r>
    </w:p>
    <w:p w14:paraId="213A179C" w14:textId="77777777" w:rsidR="00CE219C" w:rsidRPr="00CE219C" w:rsidRDefault="00CE219C" w:rsidP="00CE219C">
      <w:pPr>
        <w:pStyle w:val="HChG"/>
        <w:rPr>
          <w:rFonts w:eastAsia="Times New Roman"/>
        </w:rPr>
      </w:pPr>
      <w:r w:rsidRPr="00CE219C">
        <w:rPr>
          <w:rFonts w:eastAsia="Times New Roman"/>
        </w:rPr>
        <w:lastRenderedPageBreak/>
        <w:tab/>
        <w:t>IV.</w:t>
      </w:r>
      <w:r w:rsidRPr="00CE219C">
        <w:rPr>
          <w:rFonts w:eastAsia="Times New Roman"/>
        </w:rPr>
        <w:tab/>
        <w:t xml:space="preserve">Applicable </w:t>
      </w:r>
      <w:r w:rsidRPr="00CE219C">
        <w:t>legal</w:t>
      </w:r>
      <w:r w:rsidRPr="00CE219C">
        <w:rPr>
          <w:rFonts w:eastAsia="Times New Roman"/>
        </w:rPr>
        <w:t xml:space="preserve"> framework </w:t>
      </w:r>
    </w:p>
    <w:p w14:paraId="4CA8815B"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Special Rapporteur recalls that international human rights law is based on the premise that all persons, by virtue of their humanity, should enjoy all human rights without discrimination on any grounds. Article 1 (1) of the International Convention on the Elimination of All Forms of Racial Discrimination defines racial discrimination. The Special Rapporteur reiterates that the prohibition on racial discrimination is aimed at guaranteeing substantive equality as well as formal provisions of equality. States must take action to combat intentional or purposeful racial discrimination, as well as de facto or unintentional racial discrimination. She reminds States that they cannot derogate from their obligations to uphold the </w:t>
      </w:r>
      <w:r w:rsidRPr="00CE219C">
        <w:rPr>
          <w:rFonts w:eastAsia="Times New Roman"/>
          <w:i/>
          <w:iCs/>
        </w:rPr>
        <w:t>jus cogens</w:t>
      </w:r>
      <w:r w:rsidRPr="00CE219C">
        <w:rPr>
          <w:rFonts w:eastAsia="Times New Roman"/>
        </w:rPr>
        <w:t xml:space="preserve"> prohibition of racial discrimination in international law, even in times of public emergency. </w:t>
      </w:r>
    </w:p>
    <w:p w14:paraId="7777570C"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The International Convention on the Elimination of All Forms of Racial Discrimination and the International Covenant on Civil and Political Rights both impose strong limitations on the propagation of racist and xenophobic ideas, and outlaw the advocacy of national, racial or religious prejudices that amount to incitement to discrimination, hostility or violence. Speech that constitutes advocacy of antisemitic racial and religious prejudices amounting to incitement to discrimination, hostility or violence is thus unlawful and prohibited under the applicable legal frameworks. The Special Rapporteur also recalls that under Article 20 of the International Covenant on Civil and Political Rights, any forms of propaganda for war must be prohibited by States parties. </w:t>
      </w:r>
    </w:p>
    <w:p w14:paraId="38536324"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Special Rapporteur recalls that in accordance with article 2 (1) of the International Convention on the Elimination of All Forms of Racial Discrimination, States parties are not to sponsor, defend or support racial discrimination by any persons or organizations, including those espousing racial superiority and intolerance. Article 4 of the Convention requires States parties to condemn all propaganda and all organizations which are based on ideas or theories of superiority of one race or group of persons of one colour or ethnic origin, or which attempt to justify or promote racial hatred and discrimination in any form. This means that States parties must take action to prohibit organizations that meet the conditions articulated in article 4 (b), including in contexts in which such organizations use antisemitic fervour to attempt to mainstream their extreme ideologies or racial, ethnic or religious hatred and intolerance. Legislation alone is not sufficient. Article 6 of the Convention makes clear that effective protection from and remedies for racial discrimination are just as important as formal provisions.</w:t>
      </w:r>
    </w:p>
    <w:p w14:paraId="720F389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Article 4 of the Convention also requires States parties to undertake to adopt immediate and positive measures designed to eradicate all incitement to, or acts of, such discrimination, and to make punishable by law all dissemination of ideas based on racial superiority or hatred, incitement to racial discrimination, as well as all acts of violence or incitement to such acts against any race or group of persons of another colour or ethnic origin. The Committee on the Elimination of Racial Discrimination has recommended concrete guidance for States parties on the adoption of legislation combating racist speech falling under article 4, and the Special Rapporteur encourages States to review general recommendation No. 35 (2013) in order to benefit from that guidance. In the general recommendation, the Committee recalls that the proscription of racist hate speech and the flourishing of freedom of expression should be seen as complementary, and that the rights to equality and freedom from discrimination, and the right to freedom of expression, should be fully reflected in law, policy and practice as mutually supportive human rights.</w:t>
      </w:r>
    </w:p>
    <w:p w14:paraId="4CFBC563"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 xml:space="preserve">Article 19 of the International Covenant on Civil and Political Rights protects freedom of opinion and of expression. Any restriction on freedom of speech must not only be a matter of necessity, but must be proportionately tailored to achieve the legitimate end that warrants the restriction. Article 20 of the Covenant states specifically that States parties must prohibit, by law, any advocacy of national, racial or religious hatred that constitutes incitement to discrimination, hostility or violence. The Human Rights Committee and a number of other human rights mechanisms have interpreted this provision as creating a high threshold, because limitations on speech must remain exceptional. When individuals or groups meet this high threshold, including in the context of antisemitic hate speech, States must hold these actors to account for their violations of international human rights law. </w:t>
      </w:r>
    </w:p>
    <w:p w14:paraId="71D04599"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lastRenderedPageBreak/>
        <w:t xml:space="preserve">The Committee on the Elimination of Racial Discrimination has reiterated that freedom of expression is integrated into the Convention, and that the Convention contributes to a fuller understanding of the parameters of freedom of expression under international human rights law. For determining what racist expression should be punishable by law, the Committee stresses the importance of context, which includes: (a) the content and form of the speech; (b) the economic, social and political climate; (c) the position or status of the speaker; (d) the reach of the speech; and (e) the objectives of the speech. Member States, and even private actors such as the technology companies that often directly interface with racist and xenophobic content online, must remain vigilant in their identification of racist expression in national climates in which certain groups, including neo-Nazis, are openly committed to spreading and enforcing intolerance. The Committee warns that racist speech may sometimes rely on indirect language to disguise its targets or objectives, and may rely on coded symbolic communication to achieve its ends. Even incitement may be express or implied, through actions such as displays of racist symbols or the distribution of materials as well as words. </w:t>
      </w:r>
    </w:p>
    <w:p w14:paraId="5E0AE83B"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Member States must take urgent action to ensure that racist expressions violating the standards set out in the International Convention on the Elimination of All Forms of Racial Discrimination are made punishable by law. The Committee on the Elimination of Racial Discrimination has recommended that the criminalization of forms of racist expression be reserved for serious cases, to be proven beyond reasonable doubt, that the application of criminal sanctions be governed by the principles of legality, proportionality and necessity, and that less serious cases should be dealt with using non-criminal sanctions.</w:t>
      </w:r>
    </w:p>
    <w:p w14:paraId="637BFDC4"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rPr>
      </w:pPr>
      <w:r w:rsidRPr="00CE219C">
        <w:rPr>
          <w:rFonts w:eastAsia="Times New Roman"/>
        </w:rPr>
        <w:t>The Special Rapporteur also recalls that in paragraph 84 of the Durban Declaration, UN Member States at the World Conference against Racism, Racial Discrimination, Xenophobia and Related Intolerance condemned the persistence and resurgence of neo-Nazism, neofascism and violent nationalist ideologies based on racial or national prejudice. In paragraph 85 of the Declaration, they condemned political platforms and organizations based on, among other things, doctrines of racial superiority and related discrimination, as well as legislation and practices based on racism, racial discrimination, xenophobia and related intolerance, highlighting that they were incompatible with democracy and transparent and accountable governance. Member States also reaffirmed, in paragraph 94 of the Declaration, that the stigmatization of people of different origins by acts or omissions of public authorities, institutions, the media, political parties or national or local organizations was not only an act of racial discrimination but could also incite the recurrence of such acts, thereby resulting in the creation of a vicious circle that reinforced racist attitudes and prejudices and required universal condemnation.</w:t>
      </w:r>
    </w:p>
    <w:p w14:paraId="26C33C58" w14:textId="77777777" w:rsidR="00CE219C" w:rsidRPr="00CE219C" w:rsidRDefault="00CE219C" w:rsidP="00CE219C">
      <w:pPr>
        <w:pStyle w:val="HChG"/>
        <w:rPr>
          <w:rFonts w:eastAsia="Times New Roman"/>
        </w:rPr>
      </w:pPr>
      <w:r w:rsidRPr="00CE219C">
        <w:rPr>
          <w:rFonts w:eastAsia="Times New Roman"/>
        </w:rPr>
        <w:tab/>
        <w:t>V.</w:t>
      </w:r>
      <w:r w:rsidRPr="00CE219C">
        <w:rPr>
          <w:rFonts w:eastAsia="Times New Roman"/>
        </w:rPr>
        <w:tab/>
        <w:t xml:space="preserve">Conclusions and </w:t>
      </w:r>
      <w:r w:rsidRPr="00CE219C">
        <w:t>recommendations</w:t>
      </w:r>
    </w:p>
    <w:p w14:paraId="2AEEC447"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The Special Rapporteur urges States to comply fully with their obligations as enshrined in article 4 of the International Convention on the Elimination of All Forms of Racial Discrimination and reiterates her encouragement to those States that have made reservations to article 4 of the Convention to withdraw those reservations and commit to the obligation to tackle hate speech and incitement to violence.</w:t>
      </w:r>
    </w:p>
    <w:p w14:paraId="24EC9623"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 xml:space="preserve">The Special Rapporteur recommends that UN Member States draw on relevant guidance, including the Committee on the Elimination of Racial Discrimination’s General Recommendation No. 35 (Combating racist hate speech) and the Rabat Plan of Action, to effectively balance the regulation of hate speech and the right of freedom of expression within relevant legislative and policy frameworks.  </w:t>
      </w:r>
    </w:p>
    <w:p w14:paraId="234874FD"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The Special Rapporteur also urges States to take concrete actions to ensure the full and effective implementation and dissemination of the Durban Declaration and Programme of Action.</w:t>
      </w:r>
    </w:p>
    <w:p w14:paraId="2DBCD132"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She reiterates her recommendation that Member States should implement the concrete recommendations that other United Nations bodies, especially the Committee on the Elimination of Racial Discrimination, have made pertaining to combating racist and xenophobic expression.</w:t>
      </w:r>
    </w:p>
    <w:p w14:paraId="3FB24959"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lastRenderedPageBreak/>
        <w:t>The Special Rapporteur would like to stress the importance of reliable disaggregated data and statistics on racist and xenophobic crimes. The collection of data regarding the ideological affiliations of perpetrators, as well as the identity of victims, in cases involving suspected or alleged hate crimes is vital for understanding the prevalence of hate incidents and for designing measures to combat them. Data are also vital for monitoring racist crimes and assessing the impacts of measures taken to address such crimes. A lack of consistent and reliable reporting on antisemitic violence and other hate incidents is a widespread issue, and official statistics are often much lower than those reported by nongovernmental organizations, which allow direct reporting on the Internet. The discrepancy between official data and unreported incidents reveals the need for more comprehensive, accessible, safe and dependable networks for reporting antisemitic violence. Civil society must continue and strengthen its role in collecting data and working with victims, who may not feel safe reporting incidents to authorities.</w:t>
      </w:r>
    </w:p>
    <w:p w14:paraId="35B4C189"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The Special Rapporteur highlights the need to develop and implement effective, inclusive and comprehensive frameworks complemented by other means to combat racism. In this regard, collaboration with civil society and international, regional and national human rights mechanisms can reinforce the efforts to counter antisemitism and extremist movements and groups, including neo-Nazis. In particular, civil society can play a vital role in collecting information on racist crimes, working with victims and raising awareness. The Special Rapporteur encourages robust coordination between governmental structures and civil society entities to amplify efforts to develop and implement relevant legislation and policies.</w:t>
      </w:r>
    </w:p>
    <w:p w14:paraId="72717551"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The Special Rapporteur calls on UN member states to suspend the adoption and promotion of the IHRA-WDA and the examples attached to it. In this context, she reminds states that the urgency of combatting antisemitism has been a cause she has consistently championed during her tenure in both thematic and country reports.</w:t>
      </w:r>
    </w:p>
    <w:p w14:paraId="05AE8862"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She urges the UN system and UN member states urgently to launch an open and inclusive process to identify an enhanced response to antisemitism at and by the UN consistently rooted in and supportive of human rights. This process should consider multiple instruments relevant to fighting antisemitism and involve, among others, impacted communities, including other experts and relevant stakeholders excluded so far, as well as UN Special Procedures mandate holders. She stresses that the elimination of the scourge of antisemitism must be, as part of the fight against any forms of bigotry and discrimination, grounded in international law, including inter alia the International Covenant on Civil and Political Rights, the International Convention on the Elimination of Racial Discrimination and the Durban Declaration and Programme of Action.</w:t>
      </w:r>
    </w:p>
    <w:p w14:paraId="13B2D712"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 xml:space="preserve">The Special Rapporteur stresses the complex, multi-faceted and pervasive nature of neo-Nazism and related racism, xenophobia and intolerance. She urges that strong commitment and sustained political will is required to address the trends in neo-Nazism and related racism, xenophobia and intolerance that she has observed over the last five years. She urges Member States to fully recognise the danger posed by these trends and take comprehensive and effective action to address them. In this regard, she draws Member States’ attention to the recommendations that she has made to the General Assembly and Human Rights Council over the last five years and urges them to take action to ensure the effective implementation of these recommendations. </w:t>
      </w:r>
    </w:p>
    <w:p w14:paraId="4EF17B3F" w14:textId="77777777" w:rsidR="00CE219C" w:rsidRPr="00CE219C" w:rsidRDefault="00CE219C" w:rsidP="00CE219C">
      <w:pPr>
        <w:pStyle w:val="SingleTxtG"/>
        <w:numPr>
          <w:ilvl w:val="0"/>
          <w:numId w:val="6"/>
        </w:numPr>
        <w:pBdr>
          <w:top w:val="nil"/>
          <w:left w:val="nil"/>
          <w:bottom w:val="nil"/>
          <w:right w:val="nil"/>
          <w:between w:val="nil"/>
          <w:bar w:val="nil"/>
        </w:pBdr>
        <w:spacing w:line="240" w:lineRule="exact"/>
        <w:ind w:left="1134" w:firstLine="0"/>
        <w:rPr>
          <w:rFonts w:eastAsia="Times New Roman"/>
          <w:b/>
          <w:bCs/>
        </w:rPr>
      </w:pPr>
      <w:r w:rsidRPr="00CE219C">
        <w:rPr>
          <w:rFonts w:eastAsia="Times New Roman"/>
          <w:b/>
          <w:bCs/>
        </w:rPr>
        <w:t>Member States must take urgent and active measures to ensure that educational systems develop the content necessary to promote truthful accounts of the past, including on the horrors of the Second World War, and to promote tolerance and understanding of international human rights principles.</w:t>
      </w:r>
    </w:p>
    <w:p w14:paraId="52A4C102" w14:textId="611D700D" w:rsidR="00CE219C" w:rsidRPr="00C73F0F" w:rsidRDefault="00C73F0F" w:rsidP="00C73F0F">
      <w:pPr>
        <w:pStyle w:val="SingleTxtG"/>
        <w:pBdr>
          <w:top w:val="nil"/>
          <w:left w:val="nil"/>
          <w:bottom w:val="nil"/>
          <w:right w:val="nil"/>
          <w:between w:val="nil"/>
          <w:bar w:val="nil"/>
        </w:pBdr>
        <w:kinsoku/>
        <w:overflowPunct/>
        <w:autoSpaceDE/>
        <w:autoSpaceDN/>
        <w:adjustRightInd/>
        <w:snapToGrid/>
        <w:spacing w:before="240" w:after="0"/>
        <w:jc w:val="center"/>
        <w:rPr>
          <w:rFonts w:eastAsia="Times New Roman"/>
          <w:u w:val="single"/>
          <w:lang w:val="en-US"/>
        </w:rPr>
      </w:pPr>
      <w:r>
        <w:rPr>
          <w:rFonts w:eastAsia="Times New Roman"/>
          <w:u w:val="single"/>
          <w:lang w:val="en-US"/>
        </w:rPr>
        <w:tab/>
      </w:r>
      <w:r>
        <w:rPr>
          <w:rFonts w:eastAsia="Times New Roman"/>
          <w:u w:val="single"/>
          <w:lang w:val="en-US"/>
        </w:rPr>
        <w:tab/>
      </w:r>
      <w:r>
        <w:rPr>
          <w:rFonts w:eastAsia="Times New Roman"/>
          <w:u w:val="single"/>
          <w:lang w:val="en-US"/>
        </w:rPr>
        <w:tab/>
      </w:r>
      <w:r w:rsidR="008B6142">
        <w:rPr>
          <w:rFonts w:eastAsia="Times New Roman"/>
          <w:u w:val="single"/>
          <w:lang w:val="en-US"/>
        </w:rPr>
        <w:tab/>
      </w:r>
    </w:p>
    <w:p w14:paraId="6156145D" w14:textId="16A7CF68" w:rsidR="00C31C26" w:rsidRPr="0065586E" w:rsidRDefault="00C31C26" w:rsidP="008B6142">
      <w:pPr>
        <w:pStyle w:val="SingleTxtG"/>
        <w:pBdr>
          <w:top w:val="nil"/>
          <w:left w:val="nil"/>
          <w:bottom w:val="nil"/>
          <w:right w:val="nil"/>
          <w:between w:val="nil"/>
          <w:bar w:val="nil"/>
        </w:pBdr>
        <w:kinsoku/>
        <w:overflowPunct/>
        <w:autoSpaceDE/>
        <w:autoSpaceDN/>
        <w:adjustRightInd/>
        <w:snapToGrid/>
        <w:spacing w:line="240" w:lineRule="exact"/>
        <w:ind w:left="0"/>
        <w:rPr>
          <w:rFonts w:eastAsia="Times New Roman"/>
          <w:u w:val="single"/>
          <w:lang w:val="en-US"/>
        </w:rPr>
      </w:pPr>
    </w:p>
    <w:sectPr w:rsidR="00C31C26" w:rsidRPr="0065586E"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5CC6" w14:textId="77777777" w:rsidR="0020731F" w:rsidRPr="00C47B2E" w:rsidRDefault="0020731F" w:rsidP="00C47B2E">
      <w:pPr>
        <w:pStyle w:val="Footer"/>
      </w:pPr>
    </w:p>
  </w:endnote>
  <w:endnote w:type="continuationSeparator" w:id="0">
    <w:p w14:paraId="57F61C38" w14:textId="77777777" w:rsidR="0020731F" w:rsidRPr="00C47B2E" w:rsidRDefault="0020731F" w:rsidP="00C47B2E">
      <w:pPr>
        <w:pStyle w:val="Footer"/>
      </w:pPr>
    </w:p>
  </w:endnote>
  <w:endnote w:type="continuationNotice" w:id="1">
    <w:p w14:paraId="41CA5768" w14:textId="77777777" w:rsidR="0020731F" w:rsidRPr="00C47B2E" w:rsidRDefault="0020731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2624" w14:textId="5E7D0A7C" w:rsidR="009F1158" w:rsidRDefault="009F1158" w:rsidP="00D14925">
    <w:pPr>
      <w:pStyle w:val="Footer"/>
      <w:tabs>
        <w:tab w:val="right" w:pos="9638"/>
      </w:tabs>
    </w:pPr>
    <w:r w:rsidRPr="00D14925">
      <w:rPr>
        <w:b/>
        <w:bCs/>
        <w:sz w:val="18"/>
      </w:rPr>
      <w:fldChar w:fldCharType="begin"/>
    </w:r>
    <w:r w:rsidRPr="00D14925">
      <w:rPr>
        <w:b/>
        <w:bCs/>
        <w:sz w:val="18"/>
      </w:rPr>
      <w:instrText xml:space="preserve"> PAGE  \* MERGEFORMAT </w:instrText>
    </w:r>
    <w:r w:rsidRPr="00D14925">
      <w:rPr>
        <w:b/>
        <w:bCs/>
        <w:sz w:val="18"/>
      </w:rPr>
      <w:fldChar w:fldCharType="separate"/>
    </w:r>
    <w:r w:rsidR="00444FFA">
      <w:rPr>
        <w:b/>
        <w:bCs/>
        <w:noProof/>
        <w:sz w:val="18"/>
      </w:rPr>
      <w:t>18</w:t>
    </w:r>
    <w:r w:rsidRPr="00D1492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BD1A" w14:textId="4254B980" w:rsidR="009F1158" w:rsidRDefault="009F1158" w:rsidP="00D14925">
    <w:pPr>
      <w:pStyle w:val="Footer"/>
      <w:tabs>
        <w:tab w:val="right" w:pos="9638"/>
      </w:tabs>
    </w:pPr>
    <w:r>
      <w:tab/>
    </w:r>
    <w:r w:rsidRPr="00D14925">
      <w:rPr>
        <w:b/>
        <w:bCs/>
        <w:sz w:val="18"/>
      </w:rPr>
      <w:fldChar w:fldCharType="begin"/>
    </w:r>
    <w:r w:rsidRPr="00D14925">
      <w:rPr>
        <w:b/>
        <w:bCs/>
        <w:sz w:val="18"/>
      </w:rPr>
      <w:instrText xml:space="preserve"> PAGE  \* MERGEFORMAT </w:instrText>
    </w:r>
    <w:r w:rsidRPr="00D14925">
      <w:rPr>
        <w:b/>
        <w:bCs/>
        <w:sz w:val="18"/>
      </w:rPr>
      <w:fldChar w:fldCharType="separate"/>
    </w:r>
    <w:r w:rsidR="00444FFA">
      <w:rPr>
        <w:b/>
        <w:bCs/>
        <w:noProof/>
        <w:sz w:val="18"/>
      </w:rPr>
      <w:t>17</w:t>
    </w:r>
    <w:r w:rsidRPr="00D1492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FC07" w14:textId="77777777" w:rsidR="0020731F" w:rsidRPr="00C47B2E" w:rsidRDefault="0020731F" w:rsidP="00C47B2E">
      <w:pPr>
        <w:tabs>
          <w:tab w:val="right" w:pos="2155"/>
        </w:tabs>
        <w:spacing w:after="80" w:line="240" w:lineRule="auto"/>
        <w:ind w:left="680"/>
      </w:pPr>
      <w:r>
        <w:rPr>
          <w:u w:val="single"/>
        </w:rPr>
        <w:tab/>
      </w:r>
    </w:p>
  </w:footnote>
  <w:footnote w:type="continuationSeparator" w:id="0">
    <w:p w14:paraId="3395CE4E" w14:textId="77777777" w:rsidR="0020731F" w:rsidRPr="00C47B2E" w:rsidRDefault="0020731F" w:rsidP="005E716E">
      <w:pPr>
        <w:tabs>
          <w:tab w:val="right" w:pos="2155"/>
        </w:tabs>
        <w:spacing w:after="80" w:line="240" w:lineRule="auto"/>
        <w:ind w:left="680"/>
      </w:pPr>
      <w:r>
        <w:rPr>
          <w:u w:val="single"/>
        </w:rPr>
        <w:tab/>
      </w:r>
    </w:p>
  </w:footnote>
  <w:footnote w:type="continuationNotice" w:id="1">
    <w:p w14:paraId="62C134EF" w14:textId="77777777" w:rsidR="0020731F" w:rsidRPr="00C47B2E" w:rsidRDefault="0020731F" w:rsidP="00C47B2E">
      <w:pPr>
        <w:pStyle w:val="Footer"/>
      </w:pPr>
    </w:p>
  </w:footnote>
  <w:footnote w:id="2">
    <w:p w14:paraId="3DFCA50D" w14:textId="33E45DCE" w:rsidR="0062020C" w:rsidRPr="0062020C" w:rsidRDefault="0062020C">
      <w:pPr>
        <w:pStyle w:val="FootnoteText"/>
      </w:pPr>
      <w:r>
        <w:rPr>
          <w:rStyle w:val="FootnoteReference"/>
        </w:rPr>
        <w:tab/>
      </w:r>
      <w:r w:rsidRPr="00F450D9">
        <w:rPr>
          <w:rStyle w:val="FootnoteReference"/>
          <w:sz w:val="20"/>
          <w:vertAlign w:val="baseline"/>
        </w:rPr>
        <w:t>*</w:t>
      </w:r>
      <w:r>
        <w:rPr>
          <w:rStyle w:val="FootnoteReference"/>
          <w:sz w:val="20"/>
          <w:vertAlign w:val="baseline"/>
        </w:rPr>
        <w:tab/>
      </w:r>
      <w:r w:rsidRPr="00F450D9">
        <w:rPr>
          <w:szCs w:val="18"/>
        </w:rPr>
        <w:t>A/77/150.</w:t>
      </w:r>
    </w:p>
  </w:footnote>
  <w:footnote w:id="3">
    <w:p w14:paraId="1607C111" w14:textId="45067C7E" w:rsidR="00CE219C" w:rsidRDefault="00C73F0F" w:rsidP="000E35D8">
      <w:pPr>
        <w:pStyle w:val="FootnoteText"/>
      </w:pPr>
      <w:r>
        <w:tab/>
      </w:r>
      <w:r w:rsidR="00CE219C" w:rsidRPr="00D879DD">
        <w:rPr>
          <w:rStyle w:val="FootnoteReference"/>
          <w:szCs w:val="18"/>
        </w:rPr>
        <w:footnoteRef/>
      </w:r>
      <w:r w:rsidR="000E35D8">
        <w:tab/>
      </w:r>
      <w:r w:rsidR="00CE219C" w:rsidRPr="00D879DD">
        <w:t>A/</w:t>
      </w:r>
      <w:r w:rsidR="00CE219C" w:rsidRPr="00C73F0F">
        <w:rPr>
          <w:rFonts w:eastAsia="Times New Roman"/>
        </w:rPr>
        <w:t>HRC</w:t>
      </w:r>
      <w:r w:rsidR="00CE219C" w:rsidRPr="00D879DD">
        <w:t xml:space="preserve">/38/53, available here: </w:t>
      </w:r>
      <w:hyperlink r:id="rId1" w:history="1">
        <w:r w:rsidR="00CE219C" w:rsidRPr="00D879DD">
          <w:rPr>
            <w:rStyle w:val="Hyperlink"/>
            <w:szCs w:val="18"/>
          </w:rPr>
          <w:t>https://undocs.org/Home/Mobile?FinalSymbol=A%2FHRC%2F38%2F53&amp;Language=E&amp;DeviceType=Desktop&amp;LangRequested=False</w:t>
        </w:r>
      </w:hyperlink>
      <w:r w:rsidR="008B6142">
        <w:t>.</w:t>
      </w:r>
    </w:p>
  </w:footnote>
  <w:footnote w:id="4">
    <w:p w14:paraId="4286778D" w14:textId="79F39D1E" w:rsidR="00CE219C" w:rsidRDefault="00C73F0F" w:rsidP="00C73F0F">
      <w:pPr>
        <w:pStyle w:val="FootnoteText"/>
        <w:kinsoku/>
        <w:overflowPunct/>
        <w:autoSpaceDE/>
        <w:autoSpaceDN/>
        <w:adjustRightInd/>
        <w:snapToGrid/>
        <w:jc w:val="both"/>
      </w:pPr>
      <w:r>
        <w:rPr>
          <w:szCs w:val="18"/>
        </w:rPr>
        <w:tab/>
      </w:r>
      <w:r w:rsidR="00CE219C" w:rsidRPr="00D879DD">
        <w:rPr>
          <w:rStyle w:val="FootnoteReference"/>
          <w:szCs w:val="18"/>
        </w:rPr>
        <w:footnoteRef/>
      </w:r>
      <w:r w:rsidR="00CE219C" w:rsidRPr="00D879DD">
        <w:rPr>
          <w:szCs w:val="18"/>
        </w:rPr>
        <w:t xml:space="preserve"> </w:t>
      </w:r>
      <w:r>
        <w:rPr>
          <w:szCs w:val="18"/>
        </w:rPr>
        <w:tab/>
      </w:r>
      <w:r>
        <w:rPr>
          <w:szCs w:val="18"/>
        </w:rPr>
        <w:tab/>
      </w:r>
      <w:r w:rsidR="00CE219C" w:rsidRPr="00C73F0F">
        <w:rPr>
          <w:rFonts w:eastAsia="Times New Roman"/>
          <w:szCs w:val="18"/>
        </w:rPr>
        <w:t>Ibid</w:t>
      </w:r>
      <w:r w:rsidR="008B6142">
        <w:rPr>
          <w:rFonts w:eastAsia="Times New Roman"/>
          <w:szCs w:val="18"/>
        </w:rPr>
        <w:t>.</w:t>
      </w:r>
    </w:p>
  </w:footnote>
  <w:footnote w:id="5">
    <w:p w14:paraId="3BA535EA" w14:textId="58388559" w:rsidR="00CE219C" w:rsidRDefault="000E35D8" w:rsidP="00C73F0F">
      <w:pPr>
        <w:pStyle w:val="FootnoteText"/>
        <w:kinsoku/>
        <w:overflowPunct/>
        <w:autoSpaceDE/>
        <w:autoSpaceDN/>
        <w:adjustRightInd/>
        <w:snapToGrid/>
        <w:jc w:val="both"/>
      </w:pPr>
      <w:r>
        <w:rPr>
          <w:szCs w:val="18"/>
        </w:rPr>
        <w:tab/>
      </w:r>
      <w:r w:rsidR="00CE219C" w:rsidRPr="00D879DD">
        <w:rPr>
          <w:rStyle w:val="FootnoteReference"/>
          <w:szCs w:val="18"/>
        </w:rPr>
        <w:footnoteRef/>
      </w:r>
      <w:r w:rsidR="00CE219C" w:rsidRPr="00D879DD">
        <w:rPr>
          <w:szCs w:val="18"/>
        </w:rPr>
        <w:t xml:space="preserve"> </w:t>
      </w:r>
      <w:r>
        <w:rPr>
          <w:szCs w:val="18"/>
        </w:rPr>
        <w:tab/>
      </w:r>
      <w:r>
        <w:rPr>
          <w:szCs w:val="18"/>
        </w:rPr>
        <w:tab/>
      </w:r>
      <w:r w:rsidR="00CE219C" w:rsidRPr="00C73F0F">
        <w:rPr>
          <w:rFonts w:eastAsia="Times New Roman"/>
          <w:szCs w:val="18"/>
        </w:rPr>
        <w:t>Ibid</w:t>
      </w:r>
    </w:p>
  </w:footnote>
  <w:footnote w:id="6">
    <w:p w14:paraId="4C1215BE" w14:textId="65247D16" w:rsidR="00CE219C" w:rsidRPr="005703FC" w:rsidRDefault="000E35D8" w:rsidP="000E35D8">
      <w:pPr>
        <w:pStyle w:val="FootnoteText"/>
      </w:pPr>
      <w:r>
        <w:tab/>
      </w:r>
      <w:r w:rsidR="00CE219C" w:rsidRPr="005703FC">
        <w:rPr>
          <w:rStyle w:val="FootnoteReference"/>
          <w:szCs w:val="18"/>
        </w:rPr>
        <w:footnoteRef/>
      </w:r>
      <w:r w:rsidR="00CE219C" w:rsidRPr="005703FC">
        <w:t xml:space="preserve"> </w:t>
      </w:r>
      <w:r>
        <w:tab/>
      </w:r>
      <w:r>
        <w:tab/>
      </w:r>
      <w:r w:rsidR="00CE219C" w:rsidRPr="005703FC">
        <w:t>A/75/329, available here: https://undocs.org/Home/Mobile?FinalSymbol=A%2F75%2F329&amp;Language=E&amp;DeviceType=Desktop&amp;LangRequested=False</w:t>
      </w:r>
    </w:p>
  </w:footnote>
  <w:footnote w:id="7">
    <w:p w14:paraId="6CD8FBA7" w14:textId="7B1CD101" w:rsidR="00CE219C" w:rsidRPr="005703FC" w:rsidRDefault="000E35D8" w:rsidP="000E35D8">
      <w:pPr>
        <w:pStyle w:val="FootnoteText"/>
      </w:pPr>
      <w:r>
        <w:tab/>
      </w:r>
      <w:r w:rsidR="00CE219C" w:rsidRPr="005703FC">
        <w:rPr>
          <w:rStyle w:val="FootnoteReference"/>
          <w:szCs w:val="18"/>
        </w:rPr>
        <w:footnoteRef/>
      </w:r>
      <w:r w:rsidR="00CE219C" w:rsidRPr="005703FC">
        <w:t xml:space="preserve"> </w:t>
      </w:r>
      <w:r>
        <w:tab/>
      </w:r>
      <w:r>
        <w:tab/>
      </w:r>
      <w:r w:rsidR="00CE219C" w:rsidRPr="001F738B">
        <w:t>A/</w:t>
      </w:r>
      <w:r w:rsidR="00CE219C" w:rsidRPr="00C73F0F">
        <w:rPr>
          <w:rFonts w:eastAsia="Times New Roman"/>
        </w:rPr>
        <w:t>HRC</w:t>
      </w:r>
      <w:r w:rsidR="00CE219C" w:rsidRPr="001F738B">
        <w:t>/38/53, available here: https://undocs.org/Home/Mobile?FinalSymbol=A%2FHRC%2F38%2F53&amp;Language=E&amp;DeviceType=Desktop&amp;LangRequested=False</w:t>
      </w:r>
    </w:p>
  </w:footnote>
  <w:footnote w:id="8">
    <w:p w14:paraId="5B3B2981" w14:textId="38CF8DB4" w:rsidR="00CE219C" w:rsidRPr="005703FC" w:rsidRDefault="000E35D8" w:rsidP="000E35D8">
      <w:pPr>
        <w:pStyle w:val="FootnoteText"/>
      </w:pPr>
      <w:r>
        <w:tab/>
      </w:r>
      <w:r w:rsidR="00CE219C" w:rsidRPr="005703FC">
        <w:rPr>
          <w:rStyle w:val="FootnoteReference"/>
          <w:szCs w:val="18"/>
        </w:rPr>
        <w:footnoteRef/>
      </w:r>
      <w:r w:rsidR="00CE219C" w:rsidRPr="005703FC">
        <w:t xml:space="preserve"> </w:t>
      </w:r>
      <w:r>
        <w:tab/>
      </w:r>
      <w:r>
        <w:tab/>
      </w:r>
      <w:r w:rsidR="00CE219C" w:rsidRPr="005703FC">
        <w:t>A/</w:t>
      </w:r>
      <w:r w:rsidR="00CE219C" w:rsidRPr="00C73F0F">
        <w:rPr>
          <w:rFonts w:eastAsia="Times New Roman"/>
        </w:rPr>
        <w:t>HRC</w:t>
      </w:r>
      <w:r w:rsidR="00CE219C" w:rsidRPr="005703FC">
        <w:t xml:space="preserve">/41/55, available here: </w:t>
      </w:r>
      <w:hyperlink r:id="rId2" w:history="1">
        <w:r w:rsidR="00CE219C" w:rsidRPr="005703FC">
          <w:rPr>
            <w:rStyle w:val="Hyperlink"/>
            <w:szCs w:val="18"/>
          </w:rPr>
          <w:t>https://undocs.org/Home/Mobile?FinalSymbol=A%2FHRC%2F41%2F55&amp;Language=E&amp;DeviceType=Desktop&amp;LangRequested=False</w:t>
        </w:r>
      </w:hyperlink>
      <w:r w:rsidR="00CE219C" w:rsidRPr="005703FC">
        <w:t xml:space="preserve"> </w:t>
      </w:r>
    </w:p>
  </w:footnote>
  <w:footnote w:id="9">
    <w:p w14:paraId="07B4332D" w14:textId="2BFA9B78" w:rsidR="00CE219C" w:rsidRDefault="000E35D8" w:rsidP="00C73F0F">
      <w:pPr>
        <w:pStyle w:val="FootnoteText"/>
        <w:kinsoku/>
        <w:overflowPunct/>
        <w:autoSpaceDE/>
        <w:autoSpaceDN/>
        <w:adjustRightInd/>
        <w:snapToGrid/>
        <w:jc w:val="both"/>
      </w:pPr>
      <w:r>
        <w:rPr>
          <w:szCs w:val="18"/>
        </w:rPr>
        <w:tab/>
      </w:r>
      <w:r w:rsidR="00CE219C" w:rsidRPr="005703FC">
        <w:rPr>
          <w:rStyle w:val="FootnoteReference"/>
          <w:szCs w:val="18"/>
        </w:rPr>
        <w:footnoteRef/>
      </w:r>
      <w:r w:rsidR="00CE219C" w:rsidRPr="005703FC">
        <w:rPr>
          <w:szCs w:val="18"/>
        </w:rPr>
        <w:t xml:space="preserve"> </w:t>
      </w:r>
      <w:r>
        <w:rPr>
          <w:szCs w:val="18"/>
        </w:rPr>
        <w:tab/>
      </w:r>
      <w:r>
        <w:rPr>
          <w:szCs w:val="18"/>
        </w:rPr>
        <w:tab/>
      </w:r>
      <w:r w:rsidR="00CE219C" w:rsidRPr="00C73F0F">
        <w:rPr>
          <w:rFonts w:eastAsia="Times New Roman"/>
          <w:szCs w:val="18"/>
        </w:rPr>
        <w:t>Ibid</w:t>
      </w:r>
    </w:p>
  </w:footnote>
  <w:footnote w:id="10">
    <w:p w14:paraId="271BFBBF" w14:textId="30841511" w:rsidR="00CE219C" w:rsidRPr="005703FC" w:rsidRDefault="000E35D8" w:rsidP="000E35D8">
      <w:pPr>
        <w:pStyle w:val="FootnoteText"/>
      </w:pPr>
      <w:r>
        <w:tab/>
      </w:r>
      <w:r w:rsidR="00CE219C" w:rsidRPr="005703FC">
        <w:rPr>
          <w:rStyle w:val="FootnoteReference"/>
          <w:szCs w:val="18"/>
        </w:rPr>
        <w:footnoteRef/>
      </w:r>
      <w:r w:rsidR="00CE219C" w:rsidRPr="005703FC">
        <w:t xml:space="preserve"> </w:t>
      </w:r>
      <w:r>
        <w:tab/>
      </w:r>
      <w:r>
        <w:tab/>
      </w:r>
      <w:r w:rsidR="00CE219C" w:rsidRPr="005703FC">
        <w:t>A/</w:t>
      </w:r>
      <w:r w:rsidR="00CE219C" w:rsidRPr="00C73F0F">
        <w:rPr>
          <w:rFonts w:eastAsia="Times New Roman"/>
        </w:rPr>
        <w:t>75</w:t>
      </w:r>
      <w:r w:rsidR="00CE219C" w:rsidRPr="005703FC">
        <w:t xml:space="preserve">/329, available here: </w:t>
      </w:r>
      <w:hyperlink r:id="rId3" w:history="1">
        <w:r w:rsidR="00CE219C" w:rsidRPr="005703FC">
          <w:rPr>
            <w:rStyle w:val="Hyperlink"/>
            <w:szCs w:val="18"/>
          </w:rPr>
          <w:t>https://undocs.org/Home/Mobile?FinalSymbol=A%2F75%2F329&amp;Language=E&amp;DeviceType=Desktop&amp;LangRequested=False</w:t>
        </w:r>
      </w:hyperlink>
      <w:r w:rsidR="00CE219C" w:rsidRPr="005703FC">
        <w:t xml:space="preserve"> </w:t>
      </w:r>
      <w:r w:rsidR="00CE219C" w:rsidRPr="005703FC">
        <w:tab/>
      </w:r>
    </w:p>
  </w:footnote>
  <w:footnote w:id="11">
    <w:p w14:paraId="7795A347" w14:textId="6FE15B4D" w:rsidR="00CE219C" w:rsidRPr="005703FC" w:rsidRDefault="000E35D8" w:rsidP="00C73F0F">
      <w:pPr>
        <w:pStyle w:val="FootnoteText"/>
        <w:kinsoku/>
        <w:overflowPunct/>
        <w:autoSpaceDE/>
        <w:autoSpaceDN/>
        <w:adjustRightInd/>
        <w:snapToGrid/>
        <w:jc w:val="both"/>
        <w:rPr>
          <w:szCs w:val="18"/>
        </w:rPr>
      </w:pPr>
      <w:r>
        <w:rPr>
          <w:szCs w:val="18"/>
        </w:rPr>
        <w:tab/>
      </w:r>
      <w:r w:rsidR="00CE219C" w:rsidRPr="005703FC">
        <w:rPr>
          <w:rStyle w:val="FootnoteReference"/>
          <w:szCs w:val="18"/>
        </w:rPr>
        <w:footnoteRef/>
      </w:r>
      <w:r w:rsidR="00CE219C" w:rsidRPr="005703FC">
        <w:rPr>
          <w:szCs w:val="18"/>
        </w:rPr>
        <w:t xml:space="preserve"> </w:t>
      </w:r>
      <w:r>
        <w:rPr>
          <w:szCs w:val="18"/>
        </w:rPr>
        <w:tab/>
      </w:r>
      <w:r>
        <w:rPr>
          <w:szCs w:val="18"/>
        </w:rPr>
        <w:tab/>
      </w:r>
      <w:r w:rsidR="00CE219C" w:rsidRPr="00C73F0F">
        <w:rPr>
          <w:rFonts w:eastAsia="Times New Roman"/>
          <w:szCs w:val="18"/>
        </w:rPr>
        <w:t>Ibid</w:t>
      </w:r>
    </w:p>
  </w:footnote>
  <w:footnote w:id="12">
    <w:p w14:paraId="42A5D347" w14:textId="376E9B35" w:rsidR="00CE219C" w:rsidRPr="005703FC" w:rsidRDefault="000E35D8" w:rsidP="00C73F0F">
      <w:pPr>
        <w:pStyle w:val="FootnoteText"/>
        <w:kinsoku/>
        <w:overflowPunct/>
        <w:autoSpaceDE/>
        <w:autoSpaceDN/>
        <w:adjustRightInd/>
        <w:snapToGrid/>
        <w:jc w:val="both"/>
        <w:rPr>
          <w:szCs w:val="18"/>
        </w:rPr>
      </w:pPr>
      <w:r>
        <w:rPr>
          <w:szCs w:val="18"/>
        </w:rPr>
        <w:tab/>
      </w:r>
      <w:r w:rsidR="00CE219C" w:rsidRPr="005703FC">
        <w:rPr>
          <w:rStyle w:val="FootnoteReference"/>
          <w:szCs w:val="18"/>
        </w:rPr>
        <w:footnoteRef/>
      </w:r>
      <w:r w:rsidR="00CE219C" w:rsidRPr="005703FC">
        <w:rPr>
          <w:szCs w:val="18"/>
        </w:rPr>
        <w:t xml:space="preserve"> </w:t>
      </w:r>
      <w:r>
        <w:rPr>
          <w:szCs w:val="18"/>
        </w:rPr>
        <w:tab/>
      </w:r>
      <w:r>
        <w:rPr>
          <w:szCs w:val="18"/>
        </w:rPr>
        <w:tab/>
      </w:r>
      <w:r w:rsidR="00CE219C" w:rsidRPr="00C73F0F">
        <w:rPr>
          <w:rFonts w:eastAsia="Times New Roman"/>
          <w:szCs w:val="18"/>
        </w:rPr>
        <w:t>Ibid</w:t>
      </w:r>
    </w:p>
  </w:footnote>
  <w:footnote w:id="13">
    <w:p w14:paraId="6EA727A0" w14:textId="1DA1478C" w:rsidR="00CE219C" w:rsidRDefault="000E35D8" w:rsidP="00C73F0F">
      <w:pPr>
        <w:pStyle w:val="FootnoteText"/>
        <w:kinsoku/>
        <w:overflowPunct/>
        <w:autoSpaceDE/>
        <w:autoSpaceDN/>
        <w:adjustRightInd/>
        <w:snapToGrid/>
        <w:jc w:val="both"/>
      </w:pPr>
      <w:r>
        <w:rPr>
          <w:szCs w:val="18"/>
        </w:rPr>
        <w:tab/>
      </w:r>
      <w:r w:rsidR="00CE219C" w:rsidRPr="005703FC">
        <w:rPr>
          <w:rStyle w:val="FootnoteReference"/>
          <w:szCs w:val="18"/>
        </w:rPr>
        <w:footnoteRef/>
      </w:r>
      <w:r w:rsidR="00CE219C" w:rsidRPr="005703FC">
        <w:rPr>
          <w:szCs w:val="18"/>
        </w:rPr>
        <w:t xml:space="preserve"> </w:t>
      </w:r>
      <w:r>
        <w:rPr>
          <w:szCs w:val="18"/>
        </w:rPr>
        <w:tab/>
      </w:r>
      <w:r>
        <w:rPr>
          <w:szCs w:val="18"/>
        </w:rPr>
        <w:tab/>
      </w:r>
      <w:r w:rsidR="00CE219C" w:rsidRPr="00C73F0F">
        <w:rPr>
          <w:rFonts w:eastAsia="Times New Roman"/>
          <w:szCs w:val="18"/>
        </w:rPr>
        <w:t>Ibid</w:t>
      </w:r>
    </w:p>
  </w:footnote>
  <w:footnote w:id="14">
    <w:p w14:paraId="1DA8275A" w14:textId="1B54BB59" w:rsidR="00CE219C" w:rsidRDefault="000E35D8" w:rsidP="00C73F0F">
      <w:pPr>
        <w:pStyle w:val="FootnoteText"/>
        <w:kinsoku/>
        <w:overflowPunct/>
        <w:autoSpaceDE/>
        <w:autoSpaceDN/>
        <w:adjustRightInd/>
        <w:snapToGrid/>
        <w:jc w:val="both"/>
      </w:pPr>
      <w:r>
        <w:rPr>
          <w:szCs w:val="18"/>
        </w:rPr>
        <w:tab/>
      </w:r>
      <w:r w:rsidR="00CE219C" w:rsidRPr="00D879DD">
        <w:rPr>
          <w:rStyle w:val="FootnoteReference"/>
          <w:szCs w:val="18"/>
        </w:rPr>
        <w:footnoteRef/>
      </w:r>
      <w:r w:rsidR="00CE219C" w:rsidRPr="00D879DD">
        <w:rPr>
          <w:szCs w:val="18"/>
        </w:rPr>
        <w:t xml:space="preserve"> </w:t>
      </w:r>
      <w:r>
        <w:rPr>
          <w:szCs w:val="18"/>
        </w:rPr>
        <w:tab/>
      </w:r>
      <w:r>
        <w:rPr>
          <w:szCs w:val="18"/>
        </w:rPr>
        <w:tab/>
      </w:r>
      <w:r w:rsidR="00CE219C" w:rsidRPr="00C73F0F">
        <w:rPr>
          <w:rFonts w:eastAsia="Times New Roman"/>
          <w:szCs w:val="18"/>
        </w:rPr>
        <w:t>Ibid</w:t>
      </w:r>
      <w:r w:rsidR="008B6142">
        <w:rPr>
          <w:rFonts w:eastAsia="Times New Roman"/>
          <w:szCs w:val="18"/>
        </w:rPr>
        <w:t>.</w:t>
      </w:r>
      <w:r w:rsidR="00CE219C" w:rsidRPr="00D879DD">
        <w:rPr>
          <w:szCs w:val="18"/>
        </w:rPr>
        <w:t xml:space="preserve"> </w:t>
      </w:r>
    </w:p>
  </w:footnote>
  <w:footnote w:id="15">
    <w:p w14:paraId="56FA75D8" w14:textId="2BEB19E1" w:rsidR="00CE219C" w:rsidRPr="002509FB" w:rsidRDefault="000E35D8" w:rsidP="008B6142">
      <w:pPr>
        <w:pStyle w:val="FootnoteText"/>
      </w:pPr>
      <w:r>
        <w:tab/>
      </w:r>
      <w:r w:rsidR="00CE219C" w:rsidRPr="002509FB">
        <w:rPr>
          <w:rStyle w:val="FootnoteReference"/>
          <w:szCs w:val="18"/>
        </w:rPr>
        <w:footnoteRef/>
      </w:r>
      <w:r w:rsidR="008B6142">
        <w:tab/>
      </w:r>
      <w:r w:rsidR="00CE219C" w:rsidRPr="002509FB">
        <w:t>A/</w:t>
      </w:r>
      <w:r w:rsidR="00CE219C" w:rsidRPr="00C73F0F">
        <w:rPr>
          <w:rFonts w:eastAsia="Times New Roman"/>
        </w:rPr>
        <w:t>HRC</w:t>
      </w:r>
      <w:r w:rsidR="00CE219C" w:rsidRPr="002509FB">
        <w:t xml:space="preserve">/50/61, available here: </w:t>
      </w:r>
      <w:hyperlink r:id="rId4" w:history="1">
        <w:r w:rsidR="00CE219C" w:rsidRPr="002509FB">
          <w:rPr>
            <w:rStyle w:val="Hyperlink"/>
            <w:szCs w:val="18"/>
          </w:rPr>
          <w:t>https://undocs.org/Home/Mobile?FinalSymbol=A%2FHRC%2F50%2F61&amp;Language=E&amp;DeviceType=Desktop&amp;LangRequested=False</w:t>
        </w:r>
      </w:hyperlink>
      <w:r w:rsidR="008B6142">
        <w:rPr>
          <w:rStyle w:val="Hyperlink"/>
          <w:szCs w:val="18"/>
        </w:rPr>
        <w:t>.</w:t>
      </w:r>
      <w:r w:rsidR="00CE219C" w:rsidRPr="002509FB">
        <w:t xml:space="preserve"> </w:t>
      </w:r>
    </w:p>
  </w:footnote>
  <w:footnote w:id="16">
    <w:p w14:paraId="6187CA9D" w14:textId="7A924C58" w:rsidR="00CE219C" w:rsidRPr="002509FB" w:rsidRDefault="000E35D8" w:rsidP="00C73F0F">
      <w:pPr>
        <w:pStyle w:val="FootnoteText"/>
        <w:kinsoku/>
        <w:overflowPunct/>
        <w:autoSpaceDE/>
        <w:autoSpaceDN/>
        <w:adjustRightInd/>
        <w:snapToGrid/>
        <w:jc w:val="both"/>
        <w:rPr>
          <w:szCs w:val="18"/>
          <w:lang w:val="en-US"/>
        </w:rPr>
      </w:pPr>
      <w:r>
        <w:rPr>
          <w:szCs w:val="18"/>
          <w:lang w:val="en-US"/>
        </w:rPr>
        <w:tab/>
      </w:r>
      <w:r w:rsidR="00CE219C" w:rsidRPr="002509FB">
        <w:rPr>
          <w:rStyle w:val="FootnoteReference"/>
          <w:szCs w:val="18"/>
        </w:rPr>
        <w:footnoteRef/>
      </w:r>
      <w:r w:rsidR="00CE219C" w:rsidRPr="002509FB">
        <w:rPr>
          <w:szCs w:val="18"/>
          <w:lang w:val="en-US"/>
        </w:rPr>
        <w:t xml:space="preserve"> </w:t>
      </w:r>
      <w:r>
        <w:rPr>
          <w:szCs w:val="18"/>
          <w:lang w:val="en-US"/>
        </w:rPr>
        <w:tab/>
      </w:r>
      <w:r>
        <w:rPr>
          <w:szCs w:val="18"/>
          <w:lang w:val="en-US"/>
        </w:rPr>
        <w:tab/>
      </w:r>
      <w:r w:rsidR="00CE219C" w:rsidRPr="002509FB">
        <w:rPr>
          <w:szCs w:val="18"/>
          <w:lang w:val="en-US"/>
        </w:rPr>
        <w:t xml:space="preserve">See, </w:t>
      </w:r>
      <w:r w:rsidR="00CE219C" w:rsidRPr="00C73F0F">
        <w:rPr>
          <w:rFonts w:eastAsia="Times New Roman"/>
          <w:szCs w:val="18"/>
        </w:rPr>
        <w:t>for</w:t>
      </w:r>
      <w:r w:rsidR="00CE219C" w:rsidRPr="002509FB">
        <w:rPr>
          <w:szCs w:val="18"/>
          <w:lang w:val="en-US"/>
        </w:rPr>
        <w:t xml:space="preserve"> example, </w:t>
      </w:r>
      <w:r w:rsidR="00CE219C" w:rsidRPr="002509FB">
        <w:rPr>
          <w:i/>
          <w:iCs/>
          <w:szCs w:val="18"/>
          <w:lang w:val="en-US"/>
        </w:rPr>
        <w:t>Who’s against adopting the IHRA antisemitism definition?</w:t>
      </w:r>
      <w:r w:rsidR="00CE219C" w:rsidRPr="002509FB">
        <w:rPr>
          <w:szCs w:val="18"/>
          <w:lang w:val="en-US"/>
        </w:rPr>
        <w:t xml:space="preserve">, Corey Balsam, 9 December 2020, </w:t>
      </w:r>
      <w:hyperlink r:id="rId5" w:history="1">
        <w:r w:rsidR="00CE219C" w:rsidRPr="002509FB">
          <w:rPr>
            <w:rStyle w:val="Hyperlink"/>
            <w:szCs w:val="18"/>
            <w:lang w:val="en-US"/>
          </w:rPr>
          <w:t>https://blogs.timesofisrael.com/whos-against-adopting-the-ihra-antisemitism-definition</w:t>
        </w:r>
      </w:hyperlink>
      <w:r w:rsidR="00CE219C" w:rsidRPr="002509FB">
        <w:rPr>
          <w:rStyle w:val="Hyperlink"/>
          <w:szCs w:val="18"/>
          <w:lang w:val="en-US"/>
        </w:rPr>
        <w:t>,</w:t>
      </w:r>
      <w:r w:rsidR="00CE219C" w:rsidRPr="002509FB">
        <w:rPr>
          <w:szCs w:val="18"/>
          <w:lang w:val="en-US"/>
        </w:rPr>
        <w:t xml:space="preserve"> listing some of the myriad groups and individuals that have publicly raised serious concerns with the definition or its instrumentalization including Israel Prize laureates, academics, universities, civil liberties groups, Jewish and Israeli organizations, Palestinian and Arab organizations among others.</w:t>
      </w:r>
    </w:p>
  </w:footnote>
  <w:footnote w:id="17">
    <w:p w14:paraId="3174DF7F" w14:textId="25D38D28" w:rsidR="00CE219C" w:rsidRPr="00621435" w:rsidRDefault="00C73F0F" w:rsidP="00C73F0F">
      <w:pPr>
        <w:pStyle w:val="FootnoteText"/>
        <w:kinsoku/>
        <w:overflowPunct/>
        <w:autoSpaceDE/>
        <w:autoSpaceDN/>
        <w:adjustRightInd/>
        <w:snapToGrid/>
        <w:jc w:val="both"/>
        <w:rPr>
          <w:lang w:val="en-US"/>
        </w:rPr>
      </w:pPr>
      <w:r>
        <w:rPr>
          <w:szCs w:val="18"/>
        </w:rPr>
        <w:tab/>
      </w:r>
      <w:r w:rsidR="00CE219C" w:rsidRPr="002509FB">
        <w:rPr>
          <w:rStyle w:val="FootnoteReference"/>
          <w:szCs w:val="18"/>
        </w:rPr>
        <w:footnoteRef/>
      </w:r>
      <w:r w:rsidR="00CE219C" w:rsidRPr="002509FB">
        <w:rPr>
          <w:szCs w:val="18"/>
        </w:rPr>
        <w:t xml:space="preserve"> </w:t>
      </w:r>
      <w:r>
        <w:rPr>
          <w:szCs w:val="18"/>
        </w:rPr>
        <w:tab/>
      </w:r>
      <w:r>
        <w:rPr>
          <w:szCs w:val="18"/>
        </w:rPr>
        <w:tab/>
      </w:r>
      <w:r w:rsidR="00CE219C" w:rsidRPr="002509FB">
        <w:rPr>
          <w:szCs w:val="18"/>
        </w:rPr>
        <w:t xml:space="preserve">See, for example,  </w:t>
      </w:r>
      <w:r w:rsidR="00CE219C" w:rsidRPr="002509FB">
        <w:rPr>
          <w:i/>
          <w:iCs/>
          <w:szCs w:val="18"/>
        </w:rPr>
        <w:t>Expert submission in the context of a public consultation launched by the European Commission for its upcoming ‘Strategy on combating antisemitism and fostering Jewish life in the EU’</w:t>
      </w:r>
      <w:r w:rsidR="00CE219C" w:rsidRPr="002509FB">
        <w:rPr>
          <w:szCs w:val="18"/>
        </w:rPr>
        <w:t xml:space="preserve">, 5 July 2021, </w:t>
      </w:r>
      <w:hyperlink r:id="rId6" w:history="1">
        <w:r w:rsidR="00CE219C" w:rsidRPr="002509FB">
          <w:rPr>
            <w:rStyle w:val="Hyperlink"/>
            <w:szCs w:val="18"/>
          </w:rPr>
          <w:t>https://ec.europa.eu/info/law/better-regulation/have-your-say/initiatives/13068-Strategy-on-combating-antisemitism-and-fostering-Jewish-life-in-the-EU/F2661357_en</w:t>
        </w:r>
      </w:hyperlink>
      <w:r w:rsidR="00CE219C" w:rsidRPr="002509FB">
        <w:rPr>
          <w:szCs w:val="18"/>
        </w:rPr>
        <w:t xml:space="preserve">; Call by scholars on global leaders at Malmö Forum on Combating Antisemitism, 11 October 2021, </w:t>
      </w:r>
      <w:hyperlink r:id="rId7" w:history="1">
        <w:r w:rsidR="00CE219C" w:rsidRPr="002509FB">
          <w:rPr>
            <w:rStyle w:val="Hyperlink"/>
            <w:szCs w:val="18"/>
          </w:rPr>
          <w:t>https://s3.eu-central-1.amazonaws.com/euobs-media/b7602129dc4791bd47267b593f517caa.pdf</w:t>
        </w:r>
      </w:hyperlink>
      <w:r w:rsidR="00CE219C">
        <w:t>.</w:t>
      </w:r>
    </w:p>
  </w:footnote>
  <w:footnote w:id="18">
    <w:p w14:paraId="6BAEEBA4" w14:textId="5100A1F6" w:rsidR="00CE219C" w:rsidRPr="002509FB" w:rsidRDefault="00C73F0F" w:rsidP="00C73F0F">
      <w:pPr>
        <w:pStyle w:val="FootnoteText"/>
        <w:kinsoku/>
        <w:overflowPunct/>
        <w:autoSpaceDE/>
        <w:autoSpaceDN/>
        <w:adjustRightInd/>
        <w:snapToGrid/>
        <w:jc w:val="both"/>
        <w:rPr>
          <w:szCs w:val="18"/>
        </w:rPr>
      </w:pPr>
      <w:r>
        <w:tab/>
      </w:r>
      <w:r w:rsidR="00CE219C" w:rsidRPr="00A30144">
        <w:rPr>
          <w:rStyle w:val="FootnoteReference"/>
        </w:rPr>
        <w:footnoteRef/>
      </w:r>
      <w:r w:rsidR="00CE219C" w:rsidRPr="00A30144">
        <w:t xml:space="preserve"> </w:t>
      </w:r>
      <w:r>
        <w:tab/>
      </w:r>
      <w:r>
        <w:tab/>
      </w:r>
      <w:r w:rsidR="00CE219C" w:rsidRPr="00C73F0F">
        <w:rPr>
          <w:rFonts w:eastAsia="Times New Roman"/>
          <w:szCs w:val="18"/>
        </w:rPr>
        <w:t>Jerusalem</w:t>
      </w:r>
      <w:r w:rsidR="00CE219C" w:rsidRPr="002509FB">
        <w:rPr>
          <w:i/>
          <w:iCs/>
          <w:szCs w:val="18"/>
        </w:rPr>
        <w:t xml:space="preserve"> Declaration on Antisemitism</w:t>
      </w:r>
      <w:r w:rsidR="00CE219C" w:rsidRPr="002509FB">
        <w:rPr>
          <w:szCs w:val="18"/>
        </w:rPr>
        <w:t xml:space="preserve">, released on 25 March 2021, </w:t>
      </w:r>
      <w:hyperlink r:id="rId8" w:history="1">
        <w:r w:rsidR="00CE219C" w:rsidRPr="002509FB">
          <w:rPr>
            <w:rStyle w:val="Hyperlink"/>
            <w:szCs w:val="18"/>
          </w:rPr>
          <w:t>https://jerusalemdeclaration.org/</w:t>
        </w:r>
      </w:hyperlink>
      <w:r w:rsidR="00CE219C" w:rsidRPr="002509FB">
        <w:rPr>
          <w:szCs w:val="18"/>
        </w:rPr>
        <w:t>.</w:t>
      </w:r>
    </w:p>
  </w:footnote>
  <w:footnote w:id="19">
    <w:p w14:paraId="3092F0FC" w14:textId="237835BF" w:rsidR="00CE219C" w:rsidRPr="00B87C29" w:rsidRDefault="00C73F0F" w:rsidP="00C73F0F">
      <w:pPr>
        <w:pStyle w:val="FootnoteText"/>
        <w:kinsoku/>
        <w:overflowPunct/>
        <w:autoSpaceDE/>
        <w:autoSpaceDN/>
        <w:adjustRightInd/>
        <w:snapToGrid/>
        <w:jc w:val="both"/>
        <w:rPr>
          <w:strike/>
          <w:szCs w:val="18"/>
        </w:rPr>
      </w:pPr>
      <w:r>
        <w:rPr>
          <w:szCs w:val="18"/>
        </w:rPr>
        <w:tab/>
      </w:r>
      <w:r w:rsidR="00CE219C" w:rsidRPr="002509FB">
        <w:rPr>
          <w:rStyle w:val="FootnoteReference"/>
          <w:szCs w:val="18"/>
        </w:rPr>
        <w:footnoteRef/>
      </w:r>
      <w:r w:rsidR="00CE219C" w:rsidRPr="002509FB">
        <w:rPr>
          <w:szCs w:val="18"/>
        </w:rPr>
        <w:t xml:space="preserve"> </w:t>
      </w:r>
      <w:r>
        <w:rPr>
          <w:szCs w:val="18"/>
        </w:rPr>
        <w:tab/>
      </w:r>
      <w:r>
        <w:rPr>
          <w:szCs w:val="18"/>
        </w:rPr>
        <w:tab/>
      </w:r>
      <w:r w:rsidR="00CE219C" w:rsidRPr="002509FB">
        <w:rPr>
          <w:i/>
          <w:iCs/>
          <w:szCs w:val="18"/>
        </w:rPr>
        <w:t xml:space="preserve">Legal </w:t>
      </w:r>
      <w:r w:rsidR="00CE219C" w:rsidRPr="00C73F0F">
        <w:rPr>
          <w:rFonts w:eastAsia="Times New Roman"/>
          <w:szCs w:val="18"/>
        </w:rPr>
        <w:t>Form</w:t>
      </w:r>
      <w:r w:rsidR="00CE219C" w:rsidRPr="002509FB">
        <w:rPr>
          <w:i/>
          <w:iCs/>
          <w:szCs w:val="18"/>
        </w:rPr>
        <w:t xml:space="preserve"> and Legal Legitimacy: The IHRA Definition of Antisemitism As a Case Study in Censored Speech</w:t>
      </w:r>
      <w:r w:rsidR="00CE219C" w:rsidRPr="002509FB">
        <w:rPr>
          <w:szCs w:val="18"/>
        </w:rPr>
        <w:t xml:space="preserve">, Rebecca Ruth Gould, 14 May 2018, </w:t>
      </w:r>
      <w:hyperlink r:id="rId9" w:history="1">
        <w:r w:rsidR="00CE219C" w:rsidRPr="002509FB">
          <w:rPr>
            <w:rStyle w:val="Hyperlink"/>
            <w:szCs w:val="18"/>
          </w:rPr>
          <w:t>https://papers.ssrn.com/sol3/papers.cfm?abstract_id=3178109</w:t>
        </w:r>
      </w:hyperlink>
      <w:r w:rsidR="00CE219C" w:rsidRPr="002509FB">
        <w:rPr>
          <w:szCs w:val="18"/>
        </w:rPr>
        <w:t xml:space="preserve">; </w:t>
      </w:r>
      <w:r w:rsidR="00CE219C" w:rsidRPr="002509FB">
        <w:rPr>
          <w:i/>
          <w:iCs/>
          <w:szCs w:val="18"/>
        </w:rPr>
        <w:t>Backgrounder on Efforts to Redefine Antisemitism as a Means of Censoring Criticism of Israel</w:t>
      </w:r>
      <w:r w:rsidR="00CE219C" w:rsidRPr="002509FB">
        <w:rPr>
          <w:szCs w:val="18"/>
        </w:rPr>
        <w:t xml:space="preserve">, Palestine Legal, January 2020, </w:t>
      </w:r>
      <w:hyperlink r:id="rId10" w:history="1">
        <w:r w:rsidR="00CE219C" w:rsidRPr="002509FB">
          <w:rPr>
            <w:rStyle w:val="Hyperlink"/>
            <w:szCs w:val="18"/>
          </w:rPr>
          <w:t>https://palestinelegal.org/redefinition-efforts</w:t>
        </w:r>
      </w:hyperlink>
      <w:r w:rsidR="00CE219C" w:rsidRPr="002509FB">
        <w:rPr>
          <w:szCs w:val="18"/>
        </w:rPr>
        <w:t xml:space="preserve">; </w:t>
      </w:r>
      <w:r w:rsidR="00CE219C" w:rsidRPr="002509FB">
        <w:rPr>
          <w:i/>
          <w:iCs/>
          <w:szCs w:val="18"/>
        </w:rPr>
        <w:t>IHRA Definition At Work</w:t>
      </w:r>
      <w:r w:rsidR="00CE219C" w:rsidRPr="002509FB">
        <w:rPr>
          <w:szCs w:val="18"/>
        </w:rPr>
        <w:t xml:space="preserve">, IJV, last updated 4 March 2022, </w:t>
      </w:r>
      <w:hyperlink r:id="rId11" w:history="1">
        <w:r w:rsidR="00CE219C" w:rsidRPr="002509FB">
          <w:rPr>
            <w:rStyle w:val="Hyperlink"/>
            <w:szCs w:val="18"/>
          </w:rPr>
          <w:t>https://www.ijvcanada.org/ihra-definition-at-work/</w:t>
        </w:r>
      </w:hyperlink>
      <w:r w:rsidR="00CE219C" w:rsidRPr="002509FB">
        <w:rPr>
          <w:szCs w:val="18"/>
        </w:rPr>
        <w:t xml:space="preserve">; </w:t>
      </w:r>
      <w:r w:rsidR="00CE219C" w:rsidRPr="002509FB">
        <w:rPr>
          <w:i/>
          <w:iCs/>
          <w:szCs w:val="18"/>
        </w:rPr>
        <w:t>Berlin Court Finds Deutsche Welle Unlawfully Dismissed Journalist Farah Maraqa</w:t>
      </w:r>
      <w:r w:rsidR="00CE219C" w:rsidRPr="002509FB">
        <w:rPr>
          <w:szCs w:val="18"/>
        </w:rPr>
        <w:t xml:space="preserve">, ELSC, 5 September 2022, </w:t>
      </w:r>
      <w:hyperlink r:id="rId12" w:history="1">
        <w:r w:rsidR="00CE219C" w:rsidRPr="002509FB">
          <w:rPr>
            <w:rStyle w:val="Hyperlink"/>
            <w:szCs w:val="18"/>
          </w:rPr>
          <w:t>https://elsc.support/cases/berlin-court-finds-deutsche-welle-unlawfully-dismissed-journalist-farah-maraqa</w:t>
        </w:r>
      </w:hyperlink>
      <w:r w:rsidR="00CE219C" w:rsidRPr="002509FB">
        <w:rPr>
          <w:szCs w:val="18"/>
        </w:rPr>
        <w:t xml:space="preserve">. </w:t>
      </w:r>
      <w:r w:rsidR="00CE219C" w:rsidRPr="002509FB">
        <w:rPr>
          <w:rFonts w:cstheme="minorHAnsi"/>
          <w:szCs w:val="18"/>
        </w:rPr>
        <w:t>The political adoption and promotion of the IHRA-WDA across the European Union, for example, has facilitated human rights violations and incidents that are cause for alarm.</w:t>
      </w:r>
      <w:r w:rsidR="00CE219C" w:rsidRPr="002509FB">
        <w:rPr>
          <w:szCs w:val="18"/>
        </w:rPr>
        <w:t xml:space="preserve"> See Special Procedures Communication</w:t>
      </w:r>
      <w:r w:rsidR="00CE219C">
        <w:rPr>
          <w:szCs w:val="18"/>
        </w:rPr>
        <w:t>s</w:t>
      </w:r>
      <w:r w:rsidR="00CE219C" w:rsidRPr="002509FB">
        <w:rPr>
          <w:szCs w:val="18"/>
        </w:rPr>
        <w:t xml:space="preserve"> AL DEU 3/2019</w:t>
      </w:r>
      <w:r w:rsidR="00CE219C">
        <w:rPr>
          <w:szCs w:val="18"/>
        </w:rPr>
        <w:t xml:space="preserve"> &amp; AL AUT 2/2022</w:t>
      </w:r>
      <w:r w:rsidR="00CE219C" w:rsidRPr="002509FB">
        <w:rPr>
          <w:szCs w:val="18"/>
        </w:rPr>
        <w:t xml:space="preserve">, which can be searched for in the Special Procedures Communication Database: </w:t>
      </w:r>
      <w:hyperlink r:id="rId13" w:history="1">
        <w:r w:rsidR="00CE219C" w:rsidRPr="002509FB">
          <w:rPr>
            <w:rStyle w:val="Hyperlink"/>
            <w:szCs w:val="18"/>
          </w:rPr>
          <w:t>https://spcommreports.ohchr.org/Tmsearch/TMDocuments</w:t>
        </w:r>
      </w:hyperlink>
      <w:r w:rsidR="008B6142">
        <w:rPr>
          <w:rStyle w:val="Hyperlink"/>
          <w:szCs w:val="18"/>
        </w:rPr>
        <w:t>.</w:t>
      </w:r>
      <w:r w:rsidR="00CE219C" w:rsidRPr="002509FB">
        <w:rPr>
          <w:szCs w:val="18"/>
        </w:rPr>
        <w:t xml:space="preserve"> </w:t>
      </w:r>
    </w:p>
  </w:footnote>
  <w:footnote w:id="20">
    <w:p w14:paraId="1033B783" w14:textId="5254CDB3" w:rsidR="00CE219C" w:rsidRPr="002725ED" w:rsidRDefault="00C73F0F" w:rsidP="00C73F0F">
      <w:pPr>
        <w:pStyle w:val="FootnoteText"/>
        <w:kinsoku/>
        <w:overflowPunct/>
        <w:autoSpaceDE/>
        <w:autoSpaceDN/>
        <w:adjustRightInd/>
        <w:snapToGrid/>
        <w:jc w:val="both"/>
        <w:rPr>
          <w:szCs w:val="18"/>
          <w:lang w:val="en-US"/>
        </w:rPr>
      </w:pPr>
      <w:r>
        <w:rPr>
          <w:szCs w:val="18"/>
        </w:rPr>
        <w:tab/>
      </w:r>
      <w:r w:rsidR="00CE219C" w:rsidRPr="002725ED">
        <w:rPr>
          <w:rStyle w:val="FootnoteReference"/>
          <w:szCs w:val="18"/>
        </w:rPr>
        <w:footnoteRef/>
      </w:r>
      <w:r w:rsidR="00CE219C" w:rsidRPr="002725ED">
        <w:rPr>
          <w:szCs w:val="18"/>
        </w:rPr>
        <w:t xml:space="preserve"> </w:t>
      </w:r>
      <w:r>
        <w:rPr>
          <w:szCs w:val="18"/>
        </w:rPr>
        <w:tab/>
      </w:r>
      <w:r>
        <w:rPr>
          <w:szCs w:val="18"/>
        </w:rPr>
        <w:tab/>
      </w:r>
      <w:r w:rsidR="00CE219C" w:rsidRPr="002725ED">
        <w:rPr>
          <w:szCs w:val="18"/>
        </w:rPr>
        <w:t xml:space="preserve">See </w:t>
      </w:r>
      <w:r w:rsidR="00CE219C" w:rsidRPr="00C73F0F">
        <w:rPr>
          <w:rFonts w:eastAsia="Times New Roman"/>
          <w:szCs w:val="18"/>
        </w:rPr>
        <w:t>Ibid</w:t>
      </w:r>
      <w:r w:rsidR="00CE219C" w:rsidRPr="002725ED">
        <w:rPr>
          <w:szCs w:val="18"/>
          <w:lang w:val="en-US"/>
        </w:rPr>
        <w:t>.</w:t>
      </w:r>
    </w:p>
  </w:footnote>
  <w:footnote w:id="21">
    <w:p w14:paraId="2B13C667" w14:textId="3AC6BEDC" w:rsidR="00CE219C" w:rsidRPr="00B906DD" w:rsidRDefault="00C73F0F" w:rsidP="00C73F0F">
      <w:pPr>
        <w:pStyle w:val="FootnoteText"/>
        <w:kinsoku/>
        <w:overflowPunct/>
        <w:autoSpaceDE/>
        <w:autoSpaceDN/>
        <w:adjustRightInd/>
        <w:snapToGrid/>
        <w:jc w:val="both"/>
        <w:rPr>
          <w:lang w:val="en-US"/>
        </w:rPr>
      </w:pPr>
      <w:r>
        <w:rPr>
          <w:szCs w:val="18"/>
        </w:rPr>
        <w:tab/>
      </w:r>
      <w:r w:rsidR="00CE219C" w:rsidRPr="002725ED">
        <w:rPr>
          <w:rStyle w:val="FootnoteReference"/>
          <w:szCs w:val="18"/>
        </w:rPr>
        <w:footnoteRef/>
      </w:r>
      <w:r w:rsidR="00CE219C" w:rsidRPr="002725ED">
        <w:rPr>
          <w:szCs w:val="18"/>
        </w:rPr>
        <w:t xml:space="preserve"> </w:t>
      </w:r>
      <w:r>
        <w:rPr>
          <w:szCs w:val="18"/>
        </w:rPr>
        <w:tab/>
      </w:r>
      <w:r>
        <w:rPr>
          <w:szCs w:val="18"/>
        </w:rPr>
        <w:tab/>
      </w:r>
      <w:r w:rsidR="00CE219C" w:rsidRPr="002725ED">
        <w:rPr>
          <w:i/>
          <w:iCs/>
          <w:szCs w:val="18"/>
          <w:lang w:val="en-US"/>
        </w:rPr>
        <w:t xml:space="preserve">I </w:t>
      </w:r>
      <w:r w:rsidR="00CE219C" w:rsidRPr="00C73F0F">
        <w:rPr>
          <w:rFonts w:eastAsia="Times New Roman"/>
          <w:szCs w:val="18"/>
        </w:rPr>
        <w:t>Drafted</w:t>
      </w:r>
      <w:r w:rsidR="00CE219C" w:rsidRPr="002725ED">
        <w:rPr>
          <w:i/>
          <w:iCs/>
          <w:szCs w:val="18"/>
          <w:lang w:val="en-US"/>
        </w:rPr>
        <w:t xml:space="preserve"> the Definition of Antisemitism. Right Wing Jews are Weaponizing It</w:t>
      </w:r>
      <w:r w:rsidR="00CE219C" w:rsidRPr="002725ED">
        <w:rPr>
          <w:szCs w:val="18"/>
          <w:lang w:val="en-US"/>
        </w:rPr>
        <w:t xml:space="preserve">, Kenneth Stern, 13 December 2019, </w:t>
      </w:r>
      <w:hyperlink r:id="rId14" w:history="1">
        <w:r w:rsidR="00CE219C" w:rsidRPr="002725ED">
          <w:rPr>
            <w:rStyle w:val="Hyperlink"/>
            <w:szCs w:val="18"/>
            <w:lang w:val="en-US"/>
          </w:rPr>
          <w:t>https://www.theguardian.com/commentisfree/2019/dec/13/antisemitism-executive-order-trump-chilling-effect</w:t>
        </w:r>
      </w:hyperlink>
      <w:r w:rsidR="00CE219C" w:rsidRPr="002725ED">
        <w:rPr>
          <w:szCs w:val="18"/>
          <w:lang w:val="en-US"/>
        </w:rPr>
        <w:t>.</w:t>
      </w:r>
    </w:p>
  </w:footnote>
  <w:footnote w:id="22">
    <w:p w14:paraId="30AF1E88" w14:textId="5AE9A6DF" w:rsidR="00CE219C" w:rsidRPr="002725ED" w:rsidRDefault="00C73F0F" w:rsidP="00C73F0F">
      <w:pPr>
        <w:pStyle w:val="FootnoteText"/>
        <w:kinsoku/>
        <w:overflowPunct/>
        <w:autoSpaceDE/>
        <w:autoSpaceDN/>
        <w:adjustRightInd/>
        <w:snapToGrid/>
        <w:jc w:val="both"/>
        <w:rPr>
          <w:szCs w:val="18"/>
          <w:lang w:val="en-US"/>
        </w:rPr>
      </w:pPr>
      <w:r>
        <w:tab/>
      </w:r>
      <w:r w:rsidR="00CE219C" w:rsidRPr="00B906DD">
        <w:rPr>
          <w:rStyle w:val="FootnoteReference"/>
        </w:rPr>
        <w:footnoteRef/>
      </w:r>
      <w:r w:rsidR="00CE219C" w:rsidRPr="00B906DD">
        <w:t xml:space="preserve"> </w:t>
      </w:r>
      <w:r>
        <w:tab/>
      </w:r>
      <w:r>
        <w:tab/>
      </w:r>
      <w:r w:rsidR="00CE219C" w:rsidRPr="002725ED">
        <w:rPr>
          <w:szCs w:val="18"/>
        </w:rPr>
        <w:t xml:space="preserve">See </w:t>
      </w:r>
      <w:r w:rsidR="00CE219C" w:rsidRPr="00C73F0F">
        <w:rPr>
          <w:rFonts w:eastAsia="Times New Roman"/>
          <w:szCs w:val="18"/>
        </w:rPr>
        <w:t>inter</w:t>
      </w:r>
      <w:r w:rsidR="00CE219C" w:rsidRPr="002725ED">
        <w:rPr>
          <w:i/>
          <w:iCs/>
          <w:szCs w:val="18"/>
        </w:rPr>
        <w:t xml:space="preserve"> alia </w:t>
      </w:r>
      <w:r w:rsidR="00CE219C" w:rsidRPr="002725ED">
        <w:rPr>
          <w:szCs w:val="18"/>
        </w:rPr>
        <w:t xml:space="preserve">the fourteenth periodic report on the human rights situation in the Occupied Palestinian Territory (A/HRC/49/83); Israeli settlements in the Occupied Palestinian Territory, including East Jerusalem, and in the occupied Syrian Golan (A/HRC/49/85); the March 2022 Report of the Special Rapporteur on the situation of Human Rights in the Palestinian territories occupied since 1967 (A/HRC/49/87), all available here: https://www.ohchr.org/en/hr-bodies/hrc/regular-sessions/session49/list-reports; and various special procedures communications, including </w:t>
      </w:r>
      <w:r w:rsidR="00CE219C" w:rsidRPr="002725ED">
        <w:rPr>
          <w:i/>
          <w:iCs/>
          <w:szCs w:val="18"/>
        </w:rPr>
        <w:t>inter alia</w:t>
      </w:r>
      <w:r w:rsidR="00CE219C" w:rsidRPr="002725ED">
        <w:rPr>
          <w:szCs w:val="18"/>
        </w:rPr>
        <w:t xml:space="preserve"> ISR 9/2022; ISR 6/2022; ISR 3/2022; and ISR 2/2022, all available here:  https://spcommreports.ohchr.org/Tmsearch/TMDocuments</w:t>
      </w:r>
      <w:r w:rsidR="008B6142">
        <w:rPr>
          <w:szCs w:val="18"/>
        </w:rPr>
        <w:t>.</w:t>
      </w:r>
      <w:r w:rsidR="00CE219C" w:rsidRPr="002725ED">
        <w:rPr>
          <w:szCs w:val="18"/>
        </w:rPr>
        <w:t xml:space="preserve">  </w:t>
      </w:r>
    </w:p>
  </w:footnote>
  <w:footnote w:id="23">
    <w:p w14:paraId="49331B53" w14:textId="5F3AD591" w:rsidR="00CE219C" w:rsidRPr="002725ED" w:rsidRDefault="00C73F0F" w:rsidP="00C73F0F">
      <w:pPr>
        <w:pStyle w:val="FootnoteText"/>
        <w:kinsoku/>
        <w:overflowPunct/>
        <w:autoSpaceDE/>
        <w:autoSpaceDN/>
        <w:adjustRightInd/>
        <w:snapToGrid/>
        <w:jc w:val="both"/>
        <w:rPr>
          <w:szCs w:val="18"/>
        </w:rPr>
      </w:pPr>
      <w:r>
        <w:rPr>
          <w:szCs w:val="18"/>
        </w:rPr>
        <w:tab/>
      </w:r>
      <w:r w:rsidR="00CE219C" w:rsidRPr="002725ED">
        <w:rPr>
          <w:rStyle w:val="FootnoteReference"/>
          <w:szCs w:val="18"/>
        </w:rPr>
        <w:footnoteRef/>
      </w:r>
      <w:r w:rsidR="00CE219C" w:rsidRPr="002725ED">
        <w:rPr>
          <w:szCs w:val="18"/>
        </w:rPr>
        <w:t xml:space="preserve"> </w:t>
      </w:r>
      <w:r>
        <w:rPr>
          <w:szCs w:val="18"/>
        </w:rPr>
        <w:tab/>
      </w:r>
      <w:r>
        <w:rPr>
          <w:szCs w:val="18"/>
        </w:rPr>
        <w:tab/>
      </w:r>
      <w:r w:rsidR="00CE219C" w:rsidRPr="002725ED">
        <w:rPr>
          <w:i/>
          <w:iCs/>
          <w:szCs w:val="18"/>
        </w:rPr>
        <w:t xml:space="preserve">40+ </w:t>
      </w:r>
      <w:r w:rsidR="00CE219C" w:rsidRPr="00C73F0F">
        <w:rPr>
          <w:rFonts w:eastAsia="Times New Roman"/>
          <w:szCs w:val="18"/>
        </w:rPr>
        <w:t>Jewish</w:t>
      </w:r>
      <w:r w:rsidR="00CE219C" w:rsidRPr="002725ED">
        <w:rPr>
          <w:i/>
          <w:iCs/>
          <w:szCs w:val="18"/>
        </w:rPr>
        <w:t xml:space="preserve"> Groups Worldwide Oppose Equating Antisemitism with Criticism of Israel</w:t>
      </w:r>
      <w:r w:rsidR="00CE219C" w:rsidRPr="002725ED">
        <w:rPr>
          <w:szCs w:val="18"/>
        </w:rPr>
        <w:t xml:space="preserve">, 17 July 2018, </w:t>
      </w:r>
      <w:hyperlink r:id="rId15" w:history="1">
        <w:r w:rsidR="00CE219C" w:rsidRPr="002725ED">
          <w:rPr>
            <w:rStyle w:val="Hyperlink"/>
            <w:szCs w:val="18"/>
          </w:rPr>
          <w:t>https://www.jewishvoiceforpeace.org/2018/07/first-ever-40-jewish-groups-worldwide-oppose-equating-antisemitism-with-criticism-of-israel/</w:t>
        </w:r>
      </w:hyperlink>
      <w:r w:rsidR="00CE219C" w:rsidRPr="002725ED">
        <w:rPr>
          <w:szCs w:val="18"/>
        </w:rPr>
        <w:t xml:space="preserve">; </w:t>
      </w:r>
      <w:r w:rsidR="00CE219C" w:rsidRPr="002725ED">
        <w:rPr>
          <w:i/>
          <w:iCs/>
          <w:szCs w:val="18"/>
        </w:rPr>
        <w:t>The Jewish Voice Does Not Need a Kosher Certificate</w:t>
      </w:r>
      <w:r w:rsidR="00CE219C" w:rsidRPr="002725ED">
        <w:rPr>
          <w:szCs w:val="18"/>
        </w:rPr>
        <w:t xml:space="preserve">, Jüdische Stimme, 13 January 2019, </w:t>
      </w:r>
      <w:hyperlink r:id="rId16" w:history="1">
        <w:r w:rsidR="00CE219C" w:rsidRPr="002725ED">
          <w:rPr>
            <w:rStyle w:val="Hyperlink"/>
            <w:szCs w:val="18"/>
          </w:rPr>
          <w:t>https://www.juedische-stimme.de/2019/01/13/the-jewish-voice-does-not-need-a-kosher-certificate</w:t>
        </w:r>
      </w:hyperlink>
      <w:r w:rsidR="00CE219C" w:rsidRPr="002725ED">
        <w:rPr>
          <w:szCs w:val="18"/>
        </w:rPr>
        <w:t xml:space="preserve">; Berlin Art College Withdraws Funding to Israelis Seeking to Unlearn Zionism, Mairav Zonszein, 21 October 2020, </w:t>
      </w:r>
      <w:hyperlink r:id="rId17" w:history="1">
        <w:r w:rsidR="00CE219C" w:rsidRPr="002725ED">
          <w:rPr>
            <w:rStyle w:val="Hyperlink"/>
            <w:szCs w:val="18"/>
          </w:rPr>
          <w:t>https://www.972mag.com/zionism-germany-antisemitism</w:t>
        </w:r>
      </w:hyperlink>
      <w:r w:rsidR="00CE219C" w:rsidRPr="002725ED">
        <w:rPr>
          <w:szCs w:val="18"/>
        </w:rPr>
        <w:t xml:space="preserve">; </w:t>
      </w:r>
      <w:r w:rsidR="00CE219C" w:rsidRPr="002725ED">
        <w:rPr>
          <w:i/>
          <w:iCs/>
          <w:szCs w:val="18"/>
        </w:rPr>
        <w:t>How Labour’s Claim of Countering Antisemitism Has Resulted In a Purge of Jews</w:t>
      </w:r>
      <w:r w:rsidR="00CE219C" w:rsidRPr="002725ED">
        <w:rPr>
          <w:szCs w:val="18"/>
        </w:rPr>
        <w:t xml:space="preserve">, Jewish Voice for Labour, 5 August 2021, </w:t>
      </w:r>
      <w:hyperlink r:id="rId18" w:history="1">
        <w:r w:rsidR="00CE219C" w:rsidRPr="002725ED">
          <w:rPr>
            <w:rStyle w:val="Hyperlink"/>
            <w:szCs w:val="18"/>
          </w:rPr>
          <w:t>https://drive.google.com/file/d/1nfnmySTnxuwTBVf4kIC0GtJ9ykuIcwhd/view</w:t>
        </w:r>
      </w:hyperlink>
      <w:r w:rsidR="00CE219C" w:rsidRPr="002725ED">
        <w:rPr>
          <w:szCs w:val="18"/>
        </w:rPr>
        <w:t xml:space="preserve">. </w:t>
      </w:r>
    </w:p>
  </w:footnote>
  <w:footnote w:id="24">
    <w:p w14:paraId="48AC29C6" w14:textId="68EFE472" w:rsidR="00CE219C" w:rsidRPr="00BA43E6" w:rsidRDefault="00C73F0F" w:rsidP="00C73F0F">
      <w:pPr>
        <w:pStyle w:val="FootnoteText"/>
        <w:kinsoku/>
        <w:overflowPunct/>
        <w:autoSpaceDE/>
        <w:autoSpaceDN/>
        <w:adjustRightInd/>
        <w:snapToGrid/>
        <w:jc w:val="both"/>
      </w:pPr>
      <w:r>
        <w:tab/>
      </w:r>
      <w:r w:rsidR="00CE219C">
        <w:rPr>
          <w:rStyle w:val="FootnoteReference"/>
        </w:rPr>
        <w:footnoteRef/>
      </w:r>
      <w:r w:rsidR="00CE219C" w:rsidRPr="00BA43E6">
        <w:t xml:space="preserve"> </w:t>
      </w:r>
      <w:r>
        <w:tab/>
      </w:r>
      <w:r>
        <w:tab/>
      </w:r>
      <w:r w:rsidR="00CE219C" w:rsidRPr="00117263">
        <w:rPr>
          <w:szCs w:val="18"/>
        </w:rPr>
        <w:t xml:space="preserve">A/HRC/41/54/Add.2, paras.68-69; A/HRC/41/54/Add.1, </w:t>
      </w:r>
      <w:r w:rsidR="00CE219C" w:rsidRPr="00BA43E6">
        <w:rPr>
          <w:szCs w:val="18"/>
        </w:rPr>
        <w:t>pa</w:t>
      </w:r>
      <w:r w:rsidR="00CE219C" w:rsidRPr="00117263">
        <w:rPr>
          <w:szCs w:val="18"/>
        </w:rPr>
        <w:t>ra.62; A/HRC/44/57/Add.2</w:t>
      </w:r>
      <w:r w:rsidR="00CE219C">
        <w:rPr>
          <w:szCs w:val="18"/>
        </w:rPr>
        <w:t xml:space="preserve">, </w:t>
      </w:r>
      <w:r w:rsidR="00CE219C" w:rsidRPr="00117263">
        <w:rPr>
          <w:szCs w:val="18"/>
        </w:rPr>
        <w:t xml:space="preserve">para.47; </w:t>
      </w:r>
      <w:r w:rsidR="00CE219C" w:rsidRPr="00EB6208">
        <w:rPr>
          <w:szCs w:val="18"/>
        </w:rPr>
        <w:t>A/HRC/38/52</w:t>
      </w:r>
      <w:r w:rsidR="00CE219C">
        <w:rPr>
          <w:szCs w:val="18"/>
        </w:rPr>
        <w:t xml:space="preserve">, para.17; </w:t>
      </w:r>
      <w:r w:rsidR="00CE219C" w:rsidRPr="00EB6208">
        <w:rPr>
          <w:szCs w:val="18"/>
        </w:rPr>
        <w:t>A/HRC/44/57</w:t>
      </w:r>
      <w:r w:rsidR="00CE219C">
        <w:rPr>
          <w:szCs w:val="18"/>
        </w:rPr>
        <w:t xml:space="preserve">, para.25; </w:t>
      </w:r>
      <w:r w:rsidR="00CE219C" w:rsidRPr="003A05C1">
        <w:rPr>
          <w:szCs w:val="18"/>
        </w:rPr>
        <w:t>A/76/434</w:t>
      </w:r>
      <w:r w:rsidR="00CE219C">
        <w:rPr>
          <w:szCs w:val="18"/>
        </w:rPr>
        <w:t xml:space="preserve">, recommendation g; </w:t>
      </w:r>
      <w:r w:rsidR="00CE219C" w:rsidRPr="003A05C1">
        <w:rPr>
          <w:szCs w:val="18"/>
        </w:rPr>
        <w:t>A/HRC/50/61</w:t>
      </w:r>
      <w:r w:rsidR="00CE219C">
        <w:rPr>
          <w:szCs w:val="18"/>
        </w:rPr>
        <w:t xml:space="preserve">; </w:t>
      </w:r>
      <w:r w:rsidR="00CE219C" w:rsidRPr="003A05C1">
        <w:rPr>
          <w:szCs w:val="18"/>
        </w:rPr>
        <w:t>A/76/369</w:t>
      </w:r>
      <w:r w:rsidR="00CE219C">
        <w:rPr>
          <w:szCs w:val="18"/>
        </w:rPr>
        <w:t xml:space="preserve">; </w:t>
      </w:r>
      <w:r w:rsidR="00CE219C" w:rsidRPr="003A05C1">
        <w:rPr>
          <w:szCs w:val="18"/>
        </w:rPr>
        <w:t>A/HRC/48/77</w:t>
      </w:r>
      <w:r w:rsidR="00CE219C">
        <w:rPr>
          <w:szCs w:val="18"/>
        </w:rPr>
        <w:t xml:space="preserve">; </w:t>
      </w:r>
      <w:r w:rsidR="00CE219C" w:rsidRPr="003A05C1">
        <w:rPr>
          <w:szCs w:val="18"/>
        </w:rPr>
        <w:t>A/75/329</w:t>
      </w:r>
      <w:r w:rsidR="00CE219C">
        <w:rPr>
          <w:szCs w:val="18"/>
        </w:rPr>
        <w:t xml:space="preserve">; </w:t>
      </w:r>
      <w:r w:rsidR="00CE219C" w:rsidRPr="003A05C1">
        <w:rPr>
          <w:szCs w:val="18"/>
        </w:rPr>
        <w:t>A/HRC/44/58</w:t>
      </w:r>
      <w:r w:rsidR="00CE219C">
        <w:rPr>
          <w:szCs w:val="18"/>
        </w:rPr>
        <w:t xml:space="preserve">; </w:t>
      </w:r>
      <w:r w:rsidR="00CE219C" w:rsidRPr="003A05C1">
        <w:rPr>
          <w:szCs w:val="18"/>
        </w:rPr>
        <w:t>A/74/253</w:t>
      </w:r>
      <w:r w:rsidR="00CE219C">
        <w:rPr>
          <w:szCs w:val="18"/>
        </w:rPr>
        <w:t xml:space="preserve">; </w:t>
      </w:r>
      <w:r w:rsidR="00CE219C" w:rsidRPr="003A05C1">
        <w:rPr>
          <w:szCs w:val="18"/>
        </w:rPr>
        <w:t>A/HRC/41/55</w:t>
      </w:r>
      <w:r w:rsidR="00CE219C">
        <w:rPr>
          <w:szCs w:val="18"/>
        </w:rPr>
        <w:t xml:space="preserve">; </w:t>
      </w:r>
      <w:r w:rsidR="00CE219C" w:rsidRPr="003A05C1">
        <w:rPr>
          <w:szCs w:val="18"/>
        </w:rPr>
        <w:t>A/73/312</w:t>
      </w:r>
      <w:r w:rsidR="00CE219C">
        <w:rPr>
          <w:szCs w:val="18"/>
        </w:rPr>
        <w:t xml:space="preserve">; and </w:t>
      </w:r>
      <w:r w:rsidR="00CE219C" w:rsidRPr="003A05C1">
        <w:rPr>
          <w:szCs w:val="18"/>
        </w:rPr>
        <w:t>A/HRC/38/53</w:t>
      </w:r>
      <w:r w:rsidR="00CE219C">
        <w:rPr>
          <w:szCs w:val="18"/>
        </w:rPr>
        <w:t>.</w:t>
      </w:r>
    </w:p>
  </w:footnote>
  <w:footnote w:id="25">
    <w:p w14:paraId="0FCB7CFB" w14:textId="10D22E87" w:rsidR="00CE219C" w:rsidRPr="00634FEF" w:rsidRDefault="00C73F0F" w:rsidP="00C73F0F">
      <w:pPr>
        <w:pStyle w:val="FootnoteText"/>
        <w:kinsoku/>
        <w:overflowPunct/>
        <w:autoSpaceDE/>
        <w:autoSpaceDN/>
        <w:adjustRightInd/>
        <w:snapToGrid/>
        <w:jc w:val="both"/>
        <w:rPr>
          <w:lang w:val="en-US"/>
        </w:rPr>
      </w:pPr>
      <w:r>
        <w:tab/>
      </w:r>
      <w:r w:rsidR="00CE219C" w:rsidRPr="00CA4B7E">
        <w:rPr>
          <w:rStyle w:val="FootnoteReference"/>
        </w:rPr>
        <w:footnoteRef/>
      </w:r>
      <w:r w:rsidR="00CE219C" w:rsidRPr="00CA4B7E">
        <w:t xml:space="preserve"> </w:t>
      </w:r>
      <w:r>
        <w:tab/>
      </w:r>
      <w:r>
        <w:tab/>
      </w:r>
      <w:r w:rsidR="00CE219C" w:rsidRPr="00CA4B7E">
        <w:rPr>
          <w:szCs w:val="18"/>
        </w:rPr>
        <w:t xml:space="preserve">See </w:t>
      </w:r>
      <w:r w:rsidR="00CE219C" w:rsidRPr="00C73F0F">
        <w:rPr>
          <w:rFonts w:eastAsia="Times New Roman"/>
          <w:szCs w:val="18"/>
        </w:rPr>
        <w:t>the</w:t>
      </w:r>
      <w:r w:rsidR="00CE219C" w:rsidRPr="00CA4B7E">
        <w:rPr>
          <w:szCs w:val="18"/>
        </w:rPr>
        <w:t xml:space="preserve"> Durban Declaration and Programme of Action (DDPA), including </w:t>
      </w:r>
      <w:r w:rsidR="00CE219C" w:rsidRPr="00CA4B7E">
        <w:rPr>
          <w:i/>
          <w:iCs/>
          <w:szCs w:val="18"/>
        </w:rPr>
        <w:t>inter alia</w:t>
      </w:r>
      <w:r w:rsidR="00CE219C" w:rsidRPr="00CA4B7E">
        <w:rPr>
          <w:szCs w:val="18"/>
        </w:rPr>
        <w:t xml:space="preserve"> paras. 10; and 57-62 of the Declaration;</w:t>
      </w:r>
      <w:r w:rsidR="00CE219C" w:rsidRPr="00294B82">
        <w:rPr>
          <w:szCs w:val="18"/>
        </w:rPr>
        <w:t xml:space="preserve"> and </w:t>
      </w:r>
      <w:r w:rsidR="00CE219C">
        <w:rPr>
          <w:szCs w:val="18"/>
        </w:rPr>
        <w:t xml:space="preserve">para. </w:t>
      </w:r>
      <w:r w:rsidR="00CE219C" w:rsidRPr="00294B82">
        <w:rPr>
          <w:szCs w:val="18"/>
        </w:rPr>
        <w:t>150 of the Programme of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7BF8" w14:textId="41608F5E" w:rsidR="009F1158" w:rsidRDefault="009F1158" w:rsidP="00D14925">
    <w:pPr>
      <w:pStyle w:val="Header"/>
    </w:pPr>
    <w:r w:rsidRPr="00A64937">
      <w:t>A/</w:t>
    </w:r>
    <w:r w:rsidR="003D7795" w:rsidRPr="003D7795">
      <w:t>/77/3229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FFD2" w14:textId="3068F186" w:rsidR="009F1158" w:rsidRPr="00B25F6C" w:rsidRDefault="009F1158" w:rsidP="00D14925">
    <w:pPr>
      <w:pStyle w:val="Header"/>
      <w:jc w:val="right"/>
      <w:rPr>
        <w:szCs w:val="18"/>
      </w:rPr>
    </w:pPr>
    <w:r w:rsidRPr="00443DD8">
      <w:rPr>
        <w:color w:val="242424"/>
        <w:szCs w:val="18"/>
        <w:shd w:val="clear" w:color="auto" w:fill="FFFFFF"/>
      </w:rPr>
      <w:t>A/</w:t>
    </w:r>
    <w:r w:rsidR="003D7795" w:rsidRPr="003D7795">
      <w:rPr>
        <w:color w:val="242424"/>
        <w:szCs w:val="18"/>
        <w:shd w:val="clear" w:color="auto" w:fill="FFFFFF"/>
      </w:rPr>
      <w:t>/77/3229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AE56C08C"/>
    <w:lvl w:ilvl="0" w:tplc="36EC7456">
      <w:start w:val="1"/>
      <w:numFmt w:val="decimal"/>
      <w:pStyle w:val="ParaNoG"/>
      <w:lvlText w:val="%1."/>
      <w:lvlJc w:val="left"/>
      <w:pPr>
        <w:tabs>
          <w:tab w:val="num" w:pos="0"/>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27407"/>
    <w:multiLevelType w:val="hybridMultilevel"/>
    <w:tmpl w:val="3932A58C"/>
    <w:lvl w:ilvl="0" w:tplc="5B867978">
      <w:start w:val="1"/>
      <w:numFmt w:val="decimal"/>
      <w:lvlText w:val="%1."/>
      <w:lvlJc w:val="left"/>
      <w:pPr>
        <w:ind w:left="1689" w:hanging="555"/>
      </w:pPr>
      <w:rPr>
        <w:rFonts w:eastAsia="Times New Roman" w:hint="default"/>
        <w:b w:val="0"/>
        <w:bCs/>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9CE6D8B"/>
    <w:multiLevelType w:val="hybridMultilevel"/>
    <w:tmpl w:val="6AACBB0E"/>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3A9F1DD8"/>
    <w:multiLevelType w:val="hybridMultilevel"/>
    <w:tmpl w:val="3F1098A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3E656984"/>
    <w:multiLevelType w:val="hybridMultilevel"/>
    <w:tmpl w:val="17767448"/>
    <w:lvl w:ilvl="0" w:tplc="FFFFFFFF">
      <w:start w:val="1"/>
      <w:numFmt w:val="upp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4B4C63BA"/>
    <w:multiLevelType w:val="hybridMultilevel"/>
    <w:tmpl w:val="17767448"/>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04484"/>
    <w:multiLevelType w:val="hybridMultilevel"/>
    <w:tmpl w:val="F8CC2C9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6CED0378"/>
    <w:multiLevelType w:val="hybridMultilevel"/>
    <w:tmpl w:val="893AEDD6"/>
    <w:lvl w:ilvl="0" w:tplc="08090015">
      <w:start w:val="1"/>
      <w:numFmt w:val="upp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1F3921"/>
    <w:multiLevelType w:val="hybridMultilevel"/>
    <w:tmpl w:val="CDFCE7F0"/>
    <w:lvl w:ilvl="0" w:tplc="FE942530">
      <w:start w:val="1"/>
      <w:numFmt w:val="decimal"/>
      <w:pStyle w:val="SingleTxt"/>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1"/>
  </w:num>
  <w:num w:numId="5">
    <w:abstractNumId w:val="8"/>
  </w:num>
  <w:num w:numId="6">
    <w:abstractNumId w:val="2"/>
  </w:num>
  <w:num w:numId="7">
    <w:abstractNumId w:val="12"/>
    <w:lvlOverride w:ilvl="0">
      <w:startOverride w:val="1"/>
    </w:lvlOverride>
  </w:num>
  <w:num w:numId="8">
    <w:abstractNumId w:val="3"/>
  </w:num>
  <w:num w:numId="9">
    <w:abstractNumId w:val="4"/>
  </w:num>
  <w:num w:numId="10">
    <w:abstractNumId w:val="9"/>
  </w:num>
  <w:num w:numId="11">
    <w:abstractNumId w:val="10"/>
  </w:num>
  <w:num w:numId="12">
    <w:abstractNumId w:val="6"/>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7B26C9"/>
    <w:rsid w:val="000010C6"/>
    <w:rsid w:val="00002691"/>
    <w:rsid w:val="000077D5"/>
    <w:rsid w:val="0001004F"/>
    <w:rsid w:val="00017470"/>
    <w:rsid w:val="00017BB7"/>
    <w:rsid w:val="0002321B"/>
    <w:rsid w:val="000262F6"/>
    <w:rsid w:val="000314A4"/>
    <w:rsid w:val="00032169"/>
    <w:rsid w:val="0003433A"/>
    <w:rsid w:val="00036296"/>
    <w:rsid w:val="00040458"/>
    <w:rsid w:val="00044ABF"/>
    <w:rsid w:val="00046E92"/>
    <w:rsid w:val="000476E2"/>
    <w:rsid w:val="00051CC6"/>
    <w:rsid w:val="00053DEF"/>
    <w:rsid w:val="00056459"/>
    <w:rsid w:val="00063C90"/>
    <w:rsid w:val="00071B24"/>
    <w:rsid w:val="00072607"/>
    <w:rsid w:val="00074046"/>
    <w:rsid w:val="000759EE"/>
    <w:rsid w:val="000776C7"/>
    <w:rsid w:val="00084330"/>
    <w:rsid w:val="000846B0"/>
    <w:rsid w:val="00086027"/>
    <w:rsid w:val="00095D3B"/>
    <w:rsid w:val="00096A4A"/>
    <w:rsid w:val="000A0C6B"/>
    <w:rsid w:val="000A1199"/>
    <w:rsid w:val="000A27C5"/>
    <w:rsid w:val="000A2CE8"/>
    <w:rsid w:val="000A6280"/>
    <w:rsid w:val="000B29C7"/>
    <w:rsid w:val="000B4513"/>
    <w:rsid w:val="000B4743"/>
    <w:rsid w:val="000C3797"/>
    <w:rsid w:val="000C40B7"/>
    <w:rsid w:val="000C719C"/>
    <w:rsid w:val="000D094D"/>
    <w:rsid w:val="000D1713"/>
    <w:rsid w:val="000D21CB"/>
    <w:rsid w:val="000E2D6B"/>
    <w:rsid w:val="000E35D8"/>
    <w:rsid w:val="000E4373"/>
    <w:rsid w:val="000E6DBE"/>
    <w:rsid w:val="000F06E4"/>
    <w:rsid w:val="000F19B1"/>
    <w:rsid w:val="000F1E33"/>
    <w:rsid w:val="001000C7"/>
    <w:rsid w:val="00101B98"/>
    <w:rsid w:val="00102C86"/>
    <w:rsid w:val="00105D24"/>
    <w:rsid w:val="00106A00"/>
    <w:rsid w:val="001076C5"/>
    <w:rsid w:val="0011255B"/>
    <w:rsid w:val="0011256A"/>
    <w:rsid w:val="00116158"/>
    <w:rsid w:val="00117187"/>
    <w:rsid w:val="00121AF1"/>
    <w:rsid w:val="0012303A"/>
    <w:rsid w:val="00130B2A"/>
    <w:rsid w:val="00131B9E"/>
    <w:rsid w:val="00132FD2"/>
    <w:rsid w:val="00133DA6"/>
    <w:rsid w:val="00135A15"/>
    <w:rsid w:val="00135A40"/>
    <w:rsid w:val="00135FA8"/>
    <w:rsid w:val="0013739C"/>
    <w:rsid w:val="0014399C"/>
    <w:rsid w:val="0014487B"/>
    <w:rsid w:val="001518D6"/>
    <w:rsid w:val="00154C47"/>
    <w:rsid w:val="001557B6"/>
    <w:rsid w:val="00155F8B"/>
    <w:rsid w:val="0015758B"/>
    <w:rsid w:val="00160BC7"/>
    <w:rsid w:val="001713CB"/>
    <w:rsid w:val="001750DD"/>
    <w:rsid w:val="00175309"/>
    <w:rsid w:val="00176693"/>
    <w:rsid w:val="00180820"/>
    <w:rsid w:val="001837C8"/>
    <w:rsid w:val="00184761"/>
    <w:rsid w:val="001865A0"/>
    <w:rsid w:val="001917CD"/>
    <w:rsid w:val="00193A16"/>
    <w:rsid w:val="00194842"/>
    <w:rsid w:val="00194C32"/>
    <w:rsid w:val="00197FDB"/>
    <w:rsid w:val="001A4B3E"/>
    <w:rsid w:val="001B215B"/>
    <w:rsid w:val="001B2987"/>
    <w:rsid w:val="001B643F"/>
    <w:rsid w:val="001C24DC"/>
    <w:rsid w:val="001C595D"/>
    <w:rsid w:val="001C75E3"/>
    <w:rsid w:val="001D47CE"/>
    <w:rsid w:val="001D6FFE"/>
    <w:rsid w:val="001D7CCF"/>
    <w:rsid w:val="001E0C41"/>
    <w:rsid w:val="001E2AFE"/>
    <w:rsid w:val="001E41A2"/>
    <w:rsid w:val="001E464F"/>
    <w:rsid w:val="001E4BA8"/>
    <w:rsid w:val="001E667D"/>
    <w:rsid w:val="001E6EA4"/>
    <w:rsid w:val="001F6FC0"/>
    <w:rsid w:val="001F73E0"/>
    <w:rsid w:val="0020023F"/>
    <w:rsid w:val="00204AF0"/>
    <w:rsid w:val="0020731F"/>
    <w:rsid w:val="002117A4"/>
    <w:rsid w:val="00214C21"/>
    <w:rsid w:val="002200E1"/>
    <w:rsid w:val="00222235"/>
    <w:rsid w:val="00227F79"/>
    <w:rsid w:val="0023180C"/>
    <w:rsid w:val="002328C4"/>
    <w:rsid w:val="00232B41"/>
    <w:rsid w:val="00235BD9"/>
    <w:rsid w:val="0023663B"/>
    <w:rsid w:val="0024010C"/>
    <w:rsid w:val="00241A83"/>
    <w:rsid w:val="00241E83"/>
    <w:rsid w:val="00242CEE"/>
    <w:rsid w:val="00245547"/>
    <w:rsid w:val="00246297"/>
    <w:rsid w:val="00247E2C"/>
    <w:rsid w:val="00250754"/>
    <w:rsid w:val="00251841"/>
    <w:rsid w:val="00255742"/>
    <w:rsid w:val="00255EDC"/>
    <w:rsid w:val="0025764B"/>
    <w:rsid w:val="002618CB"/>
    <w:rsid w:val="00263323"/>
    <w:rsid w:val="002652B0"/>
    <w:rsid w:val="00266AFA"/>
    <w:rsid w:val="00266D10"/>
    <w:rsid w:val="002707E8"/>
    <w:rsid w:val="00275828"/>
    <w:rsid w:val="0028557D"/>
    <w:rsid w:val="002871AD"/>
    <w:rsid w:val="00290461"/>
    <w:rsid w:val="00291AC4"/>
    <w:rsid w:val="00293491"/>
    <w:rsid w:val="00293F60"/>
    <w:rsid w:val="002A32CB"/>
    <w:rsid w:val="002B319E"/>
    <w:rsid w:val="002B426F"/>
    <w:rsid w:val="002B6173"/>
    <w:rsid w:val="002C025E"/>
    <w:rsid w:val="002C1C9D"/>
    <w:rsid w:val="002C7342"/>
    <w:rsid w:val="002C778E"/>
    <w:rsid w:val="002D6C53"/>
    <w:rsid w:val="002E0F5E"/>
    <w:rsid w:val="002E2637"/>
    <w:rsid w:val="002E57D4"/>
    <w:rsid w:val="002E5E72"/>
    <w:rsid w:val="002E7CE7"/>
    <w:rsid w:val="002F5595"/>
    <w:rsid w:val="002F72B6"/>
    <w:rsid w:val="002F7D0F"/>
    <w:rsid w:val="00304084"/>
    <w:rsid w:val="003070B0"/>
    <w:rsid w:val="0030780B"/>
    <w:rsid w:val="00313504"/>
    <w:rsid w:val="00315575"/>
    <w:rsid w:val="003163E2"/>
    <w:rsid w:val="00316F54"/>
    <w:rsid w:val="00317CA9"/>
    <w:rsid w:val="00320A79"/>
    <w:rsid w:val="0032172B"/>
    <w:rsid w:val="003235BB"/>
    <w:rsid w:val="00324D25"/>
    <w:rsid w:val="003253D9"/>
    <w:rsid w:val="00325608"/>
    <w:rsid w:val="00326BCC"/>
    <w:rsid w:val="00332E4B"/>
    <w:rsid w:val="00334432"/>
    <w:rsid w:val="00334F6A"/>
    <w:rsid w:val="003367BA"/>
    <w:rsid w:val="0034216D"/>
    <w:rsid w:val="00342AC8"/>
    <w:rsid w:val="00343F93"/>
    <w:rsid w:val="00345F2E"/>
    <w:rsid w:val="003461B2"/>
    <w:rsid w:val="003503E0"/>
    <w:rsid w:val="00352A25"/>
    <w:rsid w:val="00353647"/>
    <w:rsid w:val="00360920"/>
    <w:rsid w:val="00360F28"/>
    <w:rsid w:val="00364D0C"/>
    <w:rsid w:val="00364D54"/>
    <w:rsid w:val="00364FF7"/>
    <w:rsid w:val="00365A54"/>
    <w:rsid w:val="00373E39"/>
    <w:rsid w:val="003758ED"/>
    <w:rsid w:val="00375E3D"/>
    <w:rsid w:val="003778F9"/>
    <w:rsid w:val="0038638F"/>
    <w:rsid w:val="00390A5E"/>
    <w:rsid w:val="003911FC"/>
    <w:rsid w:val="00391A0D"/>
    <w:rsid w:val="003927BC"/>
    <w:rsid w:val="00393AC9"/>
    <w:rsid w:val="00396148"/>
    <w:rsid w:val="003A4317"/>
    <w:rsid w:val="003A47F1"/>
    <w:rsid w:val="003A6299"/>
    <w:rsid w:val="003A66EB"/>
    <w:rsid w:val="003B133B"/>
    <w:rsid w:val="003B2ABE"/>
    <w:rsid w:val="003B4550"/>
    <w:rsid w:val="003C0E73"/>
    <w:rsid w:val="003C4E5B"/>
    <w:rsid w:val="003C57A3"/>
    <w:rsid w:val="003C6289"/>
    <w:rsid w:val="003C6C4D"/>
    <w:rsid w:val="003C788A"/>
    <w:rsid w:val="003C7B7F"/>
    <w:rsid w:val="003D2AF2"/>
    <w:rsid w:val="003D5E24"/>
    <w:rsid w:val="003D6420"/>
    <w:rsid w:val="003D7153"/>
    <w:rsid w:val="003D7795"/>
    <w:rsid w:val="003E08E7"/>
    <w:rsid w:val="003E2956"/>
    <w:rsid w:val="003E2F7D"/>
    <w:rsid w:val="003E40BC"/>
    <w:rsid w:val="003F0D2E"/>
    <w:rsid w:val="003F3063"/>
    <w:rsid w:val="003F4032"/>
    <w:rsid w:val="003F4ED5"/>
    <w:rsid w:val="0040017C"/>
    <w:rsid w:val="00400631"/>
    <w:rsid w:val="00412AE3"/>
    <w:rsid w:val="004138F8"/>
    <w:rsid w:val="00414CA5"/>
    <w:rsid w:val="004163A4"/>
    <w:rsid w:val="00423304"/>
    <w:rsid w:val="004247C5"/>
    <w:rsid w:val="00424EF0"/>
    <w:rsid w:val="00427D2B"/>
    <w:rsid w:val="004311B3"/>
    <w:rsid w:val="004374AC"/>
    <w:rsid w:val="004411E5"/>
    <w:rsid w:val="0044159D"/>
    <w:rsid w:val="00442D2E"/>
    <w:rsid w:val="00443DD8"/>
    <w:rsid w:val="00444FFA"/>
    <w:rsid w:val="00446AFC"/>
    <w:rsid w:val="00450CBE"/>
    <w:rsid w:val="00453178"/>
    <w:rsid w:val="00453769"/>
    <w:rsid w:val="00453865"/>
    <w:rsid w:val="0045453F"/>
    <w:rsid w:val="00461253"/>
    <w:rsid w:val="004641DC"/>
    <w:rsid w:val="0046664E"/>
    <w:rsid w:val="00467D0A"/>
    <w:rsid w:val="0047173C"/>
    <w:rsid w:val="004722DB"/>
    <w:rsid w:val="004758B8"/>
    <w:rsid w:val="00485BEA"/>
    <w:rsid w:val="00486E21"/>
    <w:rsid w:val="0049331E"/>
    <w:rsid w:val="00496B4C"/>
    <w:rsid w:val="00496EBE"/>
    <w:rsid w:val="004A1EA3"/>
    <w:rsid w:val="004A2814"/>
    <w:rsid w:val="004A51C0"/>
    <w:rsid w:val="004A7091"/>
    <w:rsid w:val="004B04FE"/>
    <w:rsid w:val="004B3A68"/>
    <w:rsid w:val="004B6E65"/>
    <w:rsid w:val="004C0622"/>
    <w:rsid w:val="004C5665"/>
    <w:rsid w:val="004C6F82"/>
    <w:rsid w:val="004C7EE5"/>
    <w:rsid w:val="004D1042"/>
    <w:rsid w:val="004D10F9"/>
    <w:rsid w:val="004D2690"/>
    <w:rsid w:val="004D26D6"/>
    <w:rsid w:val="004D2A9B"/>
    <w:rsid w:val="004D6DF2"/>
    <w:rsid w:val="004D7665"/>
    <w:rsid w:val="004E4982"/>
    <w:rsid w:val="004E6829"/>
    <w:rsid w:val="004F3469"/>
    <w:rsid w:val="004F3D2C"/>
    <w:rsid w:val="004F53A2"/>
    <w:rsid w:val="004F6519"/>
    <w:rsid w:val="004F660A"/>
    <w:rsid w:val="004F6F67"/>
    <w:rsid w:val="005007E9"/>
    <w:rsid w:val="005013FF"/>
    <w:rsid w:val="005042C2"/>
    <w:rsid w:val="00504A26"/>
    <w:rsid w:val="00507426"/>
    <w:rsid w:val="00507FD4"/>
    <w:rsid w:val="00510B87"/>
    <w:rsid w:val="00510CF2"/>
    <w:rsid w:val="005116B8"/>
    <w:rsid w:val="00517888"/>
    <w:rsid w:val="0052313E"/>
    <w:rsid w:val="00523A87"/>
    <w:rsid w:val="00524C12"/>
    <w:rsid w:val="0052660D"/>
    <w:rsid w:val="005355C9"/>
    <w:rsid w:val="00535B52"/>
    <w:rsid w:val="005422F5"/>
    <w:rsid w:val="00543E5B"/>
    <w:rsid w:val="005470DD"/>
    <w:rsid w:val="00550CF6"/>
    <w:rsid w:val="005522A2"/>
    <w:rsid w:val="00552DA2"/>
    <w:rsid w:val="0055391B"/>
    <w:rsid w:val="0055669B"/>
    <w:rsid w:val="00560741"/>
    <w:rsid w:val="00562BE3"/>
    <w:rsid w:val="00570C1C"/>
    <w:rsid w:val="00572758"/>
    <w:rsid w:val="00574F86"/>
    <w:rsid w:val="00580426"/>
    <w:rsid w:val="00583C31"/>
    <w:rsid w:val="0058486C"/>
    <w:rsid w:val="005934A5"/>
    <w:rsid w:val="0059445B"/>
    <w:rsid w:val="005A076D"/>
    <w:rsid w:val="005A0775"/>
    <w:rsid w:val="005A0804"/>
    <w:rsid w:val="005A4180"/>
    <w:rsid w:val="005A5207"/>
    <w:rsid w:val="005B07C8"/>
    <w:rsid w:val="005B31BD"/>
    <w:rsid w:val="005B366A"/>
    <w:rsid w:val="005B3E4A"/>
    <w:rsid w:val="005B593E"/>
    <w:rsid w:val="005C49D4"/>
    <w:rsid w:val="005C4F37"/>
    <w:rsid w:val="005C6A9A"/>
    <w:rsid w:val="005D4C7B"/>
    <w:rsid w:val="005D644F"/>
    <w:rsid w:val="005D7BD8"/>
    <w:rsid w:val="005E0419"/>
    <w:rsid w:val="005E1ABE"/>
    <w:rsid w:val="005E287A"/>
    <w:rsid w:val="005E2AD0"/>
    <w:rsid w:val="005E5810"/>
    <w:rsid w:val="005E648A"/>
    <w:rsid w:val="005E716E"/>
    <w:rsid w:val="005F35DE"/>
    <w:rsid w:val="005F5D3B"/>
    <w:rsid w:val="005F6486"/>
    <w:rsid w:val="00602A5D"/>
    <w:rsid w:val="00602FD1"/>
    <w:rsid w:val="0060412E"/>
    <w:rsid w:val="00607154"/>
    <w:rsid w:val="006074D5"/>
    <w:rsid w:val="00607849"/>
    <w:rsid w:val="006129D1"/>
    <w:rsid w:val="006153CE"/>
    <w:rsid w:val="0061716F"/>
    <w:rsid w:val="0062020C"/>
    <w:rsid w:val="00622CF7"/>
    <w:rsid w:val="0062718D"/>
    <w:rsid w:val="006328B1"/>
    <w:rsid w:val="006364BD"/>
    <w:rsid w:val="00642124"/>
    <w:rsid w:val="00642409"/>
    <w:rsid w:val="0064421A"/>
    <w:rsid w:val="00645FB2"/>
    <w:rsid w:val="0064651E"/>
    <w:rsid w:val="00646916"/>
    <w:rsid w:val="00652342"/>
    <w:rsid w:val="006542CE"/>
    <w:rsid w:val="006547C8"/>
    <w:rsid w:val="0065586E"/>
    <w:rsid w:val="006562EB"/>
    <w:rsid w:val="00660731"/>
    <w:rsid w:val="00661076"/>
    <w:rsid w:val="006617C2"/>
    <w:rsid w:val="0066236E"/>
    <w:rsid w:val="0066543B"/>
    <w:rsid w:val="006655A6"/>
    <w:rsid w:val="00671529"/>
    <w:rsid w:val="00671A28"/>
    <w:rsid w:val="0068480C"/>
    <w:rsid w:val="00690F57"/>
    <w:rsid w:val="006A049B"/>
    <w:rsid w:val="006A06DE"/>
    <w:rsid w:val="006A49C0"/>
    <w:rsid w:val="006A623F"/>
    <w:rsid w:val="006A7340"/>
    <w:rsid w:val="006A7A49"/>
    <w:rsid w:val="006B0BD6"/>
    <w:rsid w:val="006B15D2"/>
    <w:rsid w:val="006B62EF"/>
    <w:rsid w:val="006B77C2"/>
    <w:rsid w:val="006C2071"/>
    <w:rsid w:val="006C278E"/>
    <w:rsid w:val="006C3D98"/>
    <w:rsid w:val="006D0D9C"/>
    <w:rsid w:val="006D3DFD"/>
    <w:rsid w:val="006D7AFC"/>
    <w:rsid w:val="006D7E36"/>
    <w:rsid w:val="006E43E8"/>
    <w:rsid w:val="006F1851"/>
    <w:rsid w:val="006F1A6B"/>
    <w:rsid w:val="006F1AB0"/>
    <w:rsid w:val="007004C0"/>
    <w:rsid w:val="00703DAE"/>
    <w:rsid w:val="0070489D"/>
    <w:rsid w:val="007068C3"/>
    <w:rsid w:val="0071265C"/>
    <w:rsid w:val="0071548E"/>
    <w:rsid w:val="0071559B"/>
    <w:rsid w:val="007166DF"/>
    <w:rsid w:val="0072285C"/>
    <w:rsid w:val="00724895"/>
    <w:rsid w:val="007268F9"/>
    <w:rsid w:val="007309B5"/>
    <w:rsid w:val="0073174D"/>
    <w:rsid w:val="00732601"/>
    <w:rsid w:val="00735804"/>
    <w:rsid w:val="00736063"/>
    <w:rsid w:val="007504A5"/>
    <w:rsid w:val="00752EFD"/>
    <w:rsid w:val="00753E9E"/>
    <w:rsid w:val="007541C5"/>
    <w:rsid w:val="007550EE"/>
    <w:rsid w:val="007629FA"/>
    <w:rsid w:val="00770EC0"/>
    <w:rsid w:val="00775704"/>
    <w:rsid w:val="00780807"/>
    <w:rsid w:val="007813B0"/>
    <w:rsid w:val="00781A0B"/>
    <w:rsid w:val="00782BA8"/>
    <w:rsid w:val="00790A0C"/>
    <w:rsid w:val="007935D3"/>
    <w:rsid w:val="00794D81"/>
    <w:rsid w:val="007A1125"/>
    <w:rsid w:val="007A25A1"/>
    <w:rsid w:val="007A33A8"/>
    <w:rsid w:val="007A46B4"/>
    <w:rsid w:val="007A5789"/>
    <w:rsid w:val="007A7980"/>
    <w:rsid w:val="007B208A"/>
    <w:rsid w:val="007B26C9"/>
    <w:rsid w:val="007B490E"/>
    <w:rsid w:val="007B6053"/>
    <w:rsid w:val="007B6888"/>
    <w:rsid w:val="007B6A84"/>
    <w:rsid w:val="007B6AC2"/>
    <w:rsid w:val="007C0D79"/>
    <w:rsid w:val="007C0E76"/>
    <w:rsid w:val="007C3F9B"/>
    <w:rsid w:val="007C52B0"/>
    <w:rsid w:val="007D38F5"/>
    <w:rsid w:val="007E36A1"/>
    <w:rsid w:val="007E3EA1"/>
    <w:rsid w:val="007F26AD"/>
    <w:rsid w:val="007F2F52"/>
    <w:rsid w:val="007F3939"/>
    <w:rsid w:val="00800549"/>
    <w:rsid w:val="00801991"/>
    <w:rsid w:val="00802F32"/>
    <w:rsid w:val="00804753"/>
    <w:rsid w:val="00805154"/>
    <w:rsid w:val="00806CE9"/>
    <w:rsid w:val="008129F9"/>
    <w:rsid w:val="00814588"/>
    <w:rsid w:val="00815308"/>
    <w:rsid w:val="00824A66"/>
    <w:rsid w:val="00825608"/>
    <w:rsid w:val="00826963"/>
    <w:rsid w:val="00830BE4"/>
    <w:rsid w:val="0083191F"/>
    <w:rsid w:val="00831E87"/>
    <w:rsid w:val="0083646B"/>
    <w:rsid w:val="0084031E"/>
    <w:rsid w:val="00842A7D"/>
    <w:rsid w:val="00844416"/>
    <w:rsid w:val="008527F1"/>
    <w:rsid w:val="00857EBE"/>
    <w:rsid w:val="00861B4E"/>
    <w:rsid w:val="00862EB1"/>
    <w:rsid w:val="00863F69"/>
    <w:rsid w:val="00870C7D"/>
    <w:rsid w:val="00874147"/>
    <w:rsid w:val="00875698"/>
    <w:rsid w:val="00876B68"/>
    <w:rsid w:val="008770B5"/>
    <w:rsid w:val="00882DAA"/>
    <w:rsid w:val="00883B37"/>
    <w:rsid w:val="00885B16"/>
    <w:rsid w:val="00885F4B"/>
    <w:rsid w:val="00887ED5"/>
    <w:rsid w:val="00890101"/>
    <w:rsid w:val="008A1ED1"/>
    <w:rsid w:val="008A279D"/>
    <w:rsid w:val="008A340F"/>
    <w:rsid w:val="008A6C95"/>
    <w:rsid w:val="008A7156"/>
    <w:rsid w:val="008B3D6B"/>
    <w:rsid w:val="008B6142"/>
    <w:rsid w:val="008C05B8"/>
    <w:rsid w:val="008C55BB"/>
    <w:rsid w:val="008C5958"/>
    <w:rsid w:val="008C5EA7"/>
    <w:rsid w:val="008C759D"/>
    <w:rsid w:val="008D300E"/>
    <w:rsid w:val="008D58D7"/>
    <w:rsid w:val="008E04C4"/>
    <w:rsid w:val="008E0594"/>
    <w:rsid w:val="008E0E84"/>
    <w:rsid w:val="008E14B3"/>
    <w:rsid w:val="008E4203"/>
    <w:rsid w:val="008E5C86"/>
    <w:rsid w:val="008F1AC0"/>
    <w:rsid w:val="008F56A7"/>
    <w:rsid w:val="008F68B0"/>
    <w:rsid w:val="00902782"/>
    <w:rsid w:val="009038E5"/>
    <w:rsid w:val="00905476"/>
    <w:rsid w:val="00916A11"/>
    <w:rsid w:val="00920125"/>
    <w:rsid w:val="00922DCE"/>
    <w:rsid w:val="00923228"/>
    <w:rsid w:val="0092347A"/>
    <w:rsid w:val="00924EC7"/>
    <w:rsid w:val="00926F96"/>
    <w:rsid w:val="009300AE"/>
    <w:rsid w:val="00931FE5"/>
    <w:rsid w:val="009411B4"/>
    <w:rsid w:val="00943D14"/>
    <w:rsid w:val="00954187"/>
    <w:rsid w:val="00954A2D"/>
    <w:rsid w:val="009550A7"/>
    <w:rsid w:val="009558ED"/>
    <w:rsid w:val="0096033C"/>
    <w:rsid w:val="00962A56"/>
    <w:rsid w:val="00963BC1"/>
    <w:rsid w:val="009640DD"/>
    <w:rsid w:val="00965A40"/>
    <w:rsid w:val="00966DDD"/>
    <w:rsid w:val="0096750E"/>
    <w:rsid w:val="00970C84"/>
    <w:rsid w:val="009739EE"/>
    <w:rsid w:val="009779D7"/>
    <w:rsid w:val="00986690"/>
    <w:rsid w:val="009868E8"/>
    <w:rsid w:val="009949A1"/>
    <w:rsid w:val="00994F47"/>
    <w:rsid w:val="00996B18"/>
    <w:rsid w:val="009A0B6D"/>
    <w:rsid w:val="009A4499"/>
    <w:rsid w:val="009B4E82"/>
    <w:rsid w:val="009B616D"/>
    <w:rsid w:val="009B640D"/>
    <w:rsid w:val="009B72C9"/>
    <w:rsid w:val="009B7809"/>
    <w:rsid w:val="009C115F"/>
    <w:rsid w:val="009C41AF"/>
    <w:rsid w:val="009C702E"/>
    <w:rsid w:val="009D0139"/>
    <w:rsid w:val="009D3BB7"/>
    <w:rsid w:val="009D717D"/>
    <w:rsid w:val="009D72BD"/>
    <w:rsid w:val="009E3F6B"/>
    <w:rsid w:val="009E5DDC"/>
    <w:rsid w:val="009F1158"/>
    <w:rsid w:val="009F1361"/>
    <w:rsid w:val="009F3646"/>
    <w:rsid w:val="009F5CDC"/>
    <w:rsid w:val="009F5EAB"/>
    <w:rsid w:val="009F6BFC"/>
    <w:rsid w:val="009F6F4D"/>
    <w:rsid w:val="00A002C5"/>
    <w:rsid w:val="00A0358E"/>
    <w:rsid w:val="00A0534F"/>
    <w:rsid w:val="00A11200"/>
    <w:rsid w:val="00A12A6F"/>
    <w:rsid w:val="00A23EE2"/>
    <w:rsid w:val="00A25FD0"/>
    <w:rsid w:val="00A313F9"/>
    <w:rsid w:val="00A3507F"/>
    <w:rsid w:val="00A40B78"/>
    <w:rsid w:val="00A43158"/>
    <w:rsid w:val="00A44328"/>
    <w:rsid w:val="00A52061"/>
    <w:rsid w:val="00A55050"/>
    <w:rsid w:val="00A56B98"/>
    <w:rsid w:val="00A57C14"/>
    <w:rsid w:val="00A62249"/>
    <w:rsid w:val="00A64937"/>
    <w:rsid w:val="00A65BD8"/>
    <w:rsid w:val="00A663B7"/>
    <w:rsid w:val="00A6700D"/>
    <w:rsid w:val="00A701BB"/>
    <w:rsid w:val="00A714B3"/>
    <w:rsid w:val="00A71906"/>
    <w:rsid w:val="00A71A4C"/>
    <w:rsid w:val="00A775CF"/>
    <w:rsid w:val="00A812F8"/>
    <w:rsid w:val="00A81E3E"/>
    <w:rsid w:val="00A92250"/>
    <w:rsid w:val="00A93357"/>
    <w:rsid w:val="00A93C34"/>
    <w:rsid w:val="00A94701"/>
    <w:rsid w:val="00A96C0A"/>
    <w:rsid w:val="00AA7E28"/>
    <w:rsid w:val="00AB1102"/>
    <w:rsid w:val="00AB4EA9"/>
    <w:rsid w:val="00AB5841"/>
    <w:rsid w:val="00AB58FD"/>
    <w:rsid w:val="00AC20CD"/>
    <w:rsid w:val="00AC6D10"/>
    <w:rsid w:val="00AD0821"/>
    <w:rsid w:val="00AD4049"/>
    <w:rsid w:val="00AD4DC2"/>
    <w:rsid w:val="00AD5F37"/>
    <w:rsid w:val="00AD73A9"/>
    <w:rsid w:val="00AD78F1"/>
    <w:rsid w:val="00AE0A74"/>
    <w:rsid w:val="00AE120F"/>
    <w:rsid w:val="00AE2306"/>
    <w:rsid w:val="00AE23E1"/>
    <w:rsid w:val="00AE30D1"/>
    <w:rsid w:val="00AF1048"/>
    <w:rsid w:val="00AF104C"/>
    <w:rsid w:val="00AF1D54"/>
    <w:rsid w:val="00AF3B81"/>
    <w:rsid w:val="00AF4DB3"/>
    <w:rsid w:val="00AF62FA"/>
    <w:rsid w:val="00B020F7"/>
    <w:rsid w:val="00B05DF5"/>
    <w:rsid w:val="00B06045"/>
    <w:rsid w:val="00B0635A"/>
    <w:rsid w:val="00B17EDE"/>
    <w:rsid w:val="00B23476"/>
    <w:rsid w:val="00B246A0"/>
    <w:rsid w:val="00B24E8C"/>
    <w:rsid w:val="00B25F6C"/>
    <w:rsid w:val="00B303CA"/>
    <w:rsid w:val="00B33725"/>
    <w:rsid w:val="00B359CD"/>
    <w:rsid w:val="00B3626F"/>
    <w:rsid w:val="00B4047E"/>
    <w:rsid w:val="00B4729B"/>
    <w:rsid w:val="00B5039D"/>
    <w:rsid w:val="00B503BA"/>
    <w:rsid w:val="00B52EF4"/>
    <w:rsid w:val="00B53525"/>
    <w:rsid w:val="00B556D7"/>
    <w:rsid w:val="00B566B5"/>
    <w:rsid w:val="00B56E35"/>
    <w:rsid w:val="00B63670"/>
    <w:rsid w:val="00B67897"/>
    <w:rsid w:val="00B7002A"/>
    <w:rsid w:val="00B720A0"/>
    <w:rsid w:val="00B73AFE"/>
    <w:rsid w:val="00B74D39"/>
    <w:rsid w:val="00B83059"/>
    <w:rsid w:val="00B85465"/>
    <w:rsid w:val="00B85544"/>
    <w:rsid w:val="00B9180A"/>
    <w:rsid w:val="00B93AF5"/>
    <w:rsid w:val="00BA051A"/>
    <w:rsid w:val="00BA28FE"/>
    <w:rsid w:val="00BA7F48"/>
    <w:rsid w:val="00BB1905"/>
    <w:rsid w:val="00BB45FC"/>
    <w:rsid w:val="00BC2C5E"/>
    <w:rsid w:val="00BC3C35"/>
    <w:rsid w:val="00BC48A1"/>
    <w:rsid w:val="00BC5CD8"/>
    <w:rsid w:val="00BC6216"/>
    <w:rsid w:val="00BC6386"/>
    <w:rsid w:val="00BC651E"/>
    <w:rsid w:val="00BD0D31"/>
    <w:rsid w:val="00BD1DF9"/>
    <w:rsid w:val="00BD3B60"/>
    <w:rsid w:val="00BD7144"/>
    <w:rsid w:val="00BD7F70"/>
    <w:rsid w:val="00BE23EF"/>
    <w:rsid w:val="00BE54A2"/>
    <w:rsid w:val="00BE7BAC"/>
    <w:rsid w:val="00BF0CAF"/>
    <w:rsid w:val="00C03015"/>
    <w:rsid w:val="00C0358D"/>
    <w:rsid w:val="00C057E6"/>
    <w:rsid w:val="00C066D8"/>
    <w:rsid w:val="00C131C4"/>
    <w:rsid w:val="00C14E79"/>
    <w:rsid w:val="00C25485"/>
    <w:rsid w:val="00C30686"/>
    <w:rsid w:val="00C318DD"/>
    <w:rsid w:val="00C31C26"/>
    <w:rsid w:val="00C33567"/>
    <w:rsid w:val="00C35A27"/>
    <w:rsid w:val="00C37F1C"/>
    <w:rsid w:val="00C44DBA"/>
    <w:rsid w:val="00C46566"/>
    <w:rsid w:val="00C471FC"/>
    <w:rsid w:val="00C47B2E"/>
    <w:rsid w:val="00C62FB9"/>
    <w:rsid w:val="00C677D5"/>
    <w:rsid w:val="00C7110E"/>
    <w:rsid w:val="00C7323C"/>
    <w:rsid w:val="00C73E10"/>
    <w:rsid w:val="00C73F0F"/>
    <w:rsid w:val="00C74381"/>
    <w:rsid w:val="00C76069"/>
    <w:rsid w:val="00C77BC5"/>
    <w:rsid w:val="00C80293"/>
    <w:rsid w:val="00C83CFA"/>
    <w:rsid w:val="00C86127"/>
    <w:rsid w:val="00C86CB7"/>
    <w:rsid w:val="00C879CD"/>
    <w:rsid w:val="00C96C65"/>
    <w:rsid w:val="00CA1B04"/>
    <w:rsid w:val="00CA28CC"/>
    <w:rsid w:val="00CB1143"/>
    <w:rsid w:val="00CB1C4A"/>
    <w:rsid w:val="00CB29F7"/>
    <w:rsid w:val="00CB2FC7"/>
    <w:rsid w:val="00CB3415"/>
    <w:rsid w:val="00CB436A"/>
    <w:rsid w:val="00CB5BF8"/>
    <w:rsid w:val="00CB6A91"/>
    <w:rsid w:val="00CB7486"/>
    <w:rsid w:val="00CB7508"/>
    <w:rsid w:val="00CC023B"/>
    <w:rsid w:val="00CC72FC"/>
    <w:rsid w:val="00CC74AF"/>
    <w:rsid w:val="00CD2E17"/>
    <w:rsid w:val="00CD3604"/>
    <w:rsid w:val="00CD5366"/>
    <w:rsid w:val="00CD5C30"/>
    <w:rsid w:val="00CD6ABF"/>
    <w:rsid w:val="00CD7806"/>
    <w:rsid w:val="00CE219C"/>
    <w:rsid w:val="00CE4D8A"/>
    <w:rsid w:val="00D00453"/>
    <w:rsid w:val="00D05EBC"/>
    <w:rsid w:val="00D136D7"/>
    <w:rsid w:val="00D14100"/>
    <w:rsid w:val="00D14925"/>
    <w:rsid w:val="00D1578F"/>
    <w:rsid w:val="00D173BB"/>
    <w:rsid w:val="00D20F9F"/>
    <w:rsid w:val="00D22E4D"/>
    <w:rsid w:val="00D26EB5"/>
    <w:rsid w:val="00D315A9"/>
    <w:rsid w:val="00D3544F"/>
    <w:rsid w:val="00D3598F"/>
    <w:rsid w:val="00D36512"/>
    <w:rsid w:val="00D3719F"/>
    <w:rsid w:val="00D515D9"/>
    <w:rsid w:val="00D5249C"/>
    <w:rsid w:val="00D55E1D"/>
    <w:rsid w:val="00D56F61"/>
    <w:rsid w:val="00D639F3"/>
    <w:rsid w:val="00D74ADA"/>
    <w:rsid w:val="00D7519F"/>
    <w:rsid w:val="00D8154A"/>
    <w:rsid w:val="00D818AE"/>
    <w:rsid w:val="00D844D2"/>
    <w:rsid w:val="00D869BE"/>
    <w:rsid w:val="00D927D2"/>
    <w:rsid w:val="00D93150"/>
    <w:rsid w:val="00D97220"/>
    <w:rsid w:val="00D9768F"/>
    <w:rsid w:val="00D97870"/>
    <w:rsid w:val="00DA6DDD"/>
    <w:rsid w:val="00DB0F92"/>
    <w:rsid w:val="00DB16B8"/>
    <w:rsid w:val="00DB1FA5"/>
    <w:rsid w:val="00DB29FA"/>
    <w:rsid w:val="00DC1F58"/>
    <w:rsid w:val="00DC456D"/>
    <w:rsid w:val="00DC642C"/>
    <w:rsid w:val="00DC6CA1"/>
    <w:rsid w:val="00DC712A"/>
    <w:rsid w:val="00DD0B0C"/>
    <w:rsid w:val="00DD2E41"/>
    <w:rsid w:val="00DD53E7"/>
    <w:rsid w:val="00DD7BFA"/>
    <w:rsid w:val="00DE6DB0"/>
    <w:rsid w:val="00DE6E1B"/>
    <w:rsid w:val="00DF0A07"/>
    <w:rsid w:val="00DF31A0"/>
    <w:rsid w:val="00DF3B47"/>
    <w:rsid w:val="00DF4634"/>
    <w:rsid w:val="00DF4ABE"/>
    <w:rsid w:val="00DF61D9"/>
    <w:rsid w:val="00DF6D0E"/>
    <w:rsid w:val="00E014B3"/>
    <w:rsid w:val="00E02C2B"/>
    <w:rsid w:val="00E14A34"/>
    <w:rsid w:val="00E1615A"/>
    <w:rsid w:val="00E17EAC"/>
    <w:rsid w:val="00E22339"/>
    <w:rsid w:val="00E325DF"/>
    <w:rsid w:val="00E36045"/>
    <w:rsid w:val="00E37897"/>
    <w:rsid w:val="00E4010F"/>
    <w:rsid w:val="00E41413"/>
    <w:rsid w:val="00E41FF1"/>
    <w:rsid w:val="00E427A5"/>
    <w:rsid w:val="00E460AF"/>
    <w:rsid w:val="00E5011A"/>
    <w:rsid w:val="00E51D2C"/>
    <w:rsid w:val="00E52109"/>
    <w:rsid w:val="00E5402A"/>
    <w:rsid w:val="00E6173A"/>
    <w:rsid w:val="00E61DC4"/>
    <w:rsid w:val="00E677E3"/>
    <w:rsid w:val="00E716F0"/>
    <w:rsid w:val="00E73195"/>
    <w:rsid w:val="00E73912"/>
    <w:rsid w:val="00E74BB7"/>
    <w:rsid w:val="00E75317"/>
    <w:rsid w:val="00E76668"/>
    <w:rsid w:val="00E838E1"/>
    <w:rsid w:val="00E85B9D"/>
    <w:rsid w:val="00E91888"/>
    <w:rsid w:val="00E91F26"/>
    <w:rsid w:val="00E921A3"/>
    <w:rsid w:val="00E93256"/>
    <w:rsid w:val="00E96CF4"/>
    <w:rsid w:val="00E96FD6"/>
    <w:rsid w:val="00EA0676"/>
    <w:rsid w:val="00EA07D4"/>
    <w:rsid w:val="00EA3282"/>
    <w:rsid w:val="00EA5144"/>
    <w:rsid w:val="00EB3D42"/>
    <w:rsid w:val="00EC102C"/>
    <w:rsid w:val="00EC2011"/>
    <w:rsid w:val="00ED0ABF"/>
    <w:rsid w:val="00ED34E2"/>
    <w:rsid w:val="00ED6C48"/>
    <w:rsid w:val="00EE0C5B"/>
    <w:rsid w:val="00EE3042"/>
    <w:rsid w:val="00EE338F"/>
    <w:rsid w:val="00EE340F"/>
    <w:rsid w:val="00EE3CD7"/>
    <w:rsid w:val="00EF53AB"/>
    <w:rsid w:val="00F03D1C"/>
    <w:rsid w:val="00F05F22"/>
    <w:rsid w:val="00F124CE"/>
    <w:rsid w:val="00F143A3"/>
    <w:rsid w:val="00F20970"/>
    <w:rsid w:val="00F20A94"/>
    <w:rsid w:val="00F25057"/>
    <w:rsid w:val="00F26F91"/>
    <w:rsid w:val="00F2796A"/>
    <w:rsid w:val="00F303CA"/>
    <w:rsid w:val="00F3515A"/>
    <w:rsid w:val="00F371BE"/>
    <w:rsid w:val="00F40432"/>
    <w:rsid w:val="00F41F7C"/>
    <w:rsid w:val="00F43C3C"/>
    <w:rsid w:val="00F445CD"/>
    <w:rsid w:val="00F450D9"/>
    <w:rsid w:val="00F46F5C"/>
    <w:rsid w:val="00F5096A"/>
    <w:rsid w:val="00F50FFC"/>
    <w:rsid w:val="00F534A9"/>
    <w:rsid w:val="00F53E95"/>
    <w:rsid w:val="00F61A75"/>
    <w:rsid w:val="00F63E36"/>
    <w:rsid w:val="00F641ED"/>
    <w:rsid w:val="00F65451"/>
    <w:rsid w:val="00F65F5D"/>
    <w:rsid w:val="00F662C3"/>
    <w:rsid w:val="00F67FC6"/>
    <w:rsid w:val="00F70ADA"/>
    <w:rsid w:val="00F72C11"/>
    <w:rsid w:val="00F74372"/>
    <w:rsid w:val="00F80FD4"/>
    <w:rsid w:val="00F81553"/>
    <w:rsid w:val="00F859E7"/>
    <w:rsid w:val="00F862D5"/>
    <w:rsid w:val="00F869BB"/>
    <w:rsid w:val="00F86A3A"/>
    <w:rsid w:val="00F87CDA"/>
    <w:rsid w:val="00F92F9A"/>
    <w:rsid w:val="00F94B10"/>
    <w:rsid w:val="00F9506B"/>
    <w:rsid w:val="00F9628C"/>
    <w:rsid w:val="00FA0565"/>
    <w:rsid w:val="00FA09AB"/>
    <w:rsid w:val="00FB09C8"/>
    <w:rsid w:val="00FB0E17"/>
    <w:rsid w:val="00FC00E5"/>
    <w:rsid w:val="00FC0B1C"/>
    <w:rsid w:val="00FC73D9"/>
    <w:rsid w:val="00FD1022"/>
    <w:rsid w:val="00FD1E6F"/>
    <w:rsid w:val="00FD263E"/>
    <w:rsid w:val="00FE0215"/>
    <w:rsid w:val="00FE1BC5"/>
    <w:rsid w:val="00FE1D4F"/>
    <w:rsid w:val="00FE2048"/>
    <w:rsid w:val="00FE3CB0"/>
    <w:rsid w:val="00FF0393"/>
    <w:rsid w:val="00FF081B"/>
    <w:rsid w:val="00FF7035"/>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DF35"/>
  <w15:docId w15:val="{A856FC3F-8591-4080-8CC4-2ED20C57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s,Footnote Text Char Char Char,Footnote Text Char Char,single space Char,ft Char,single space,ft,Footnote Text Char Char Char Char Char Char Char Char,Footnote Text Char Char Char Char1 Char,f,FOOTNOTES,fn,ADB,Ca"/>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s Char,Footnote Text Char Char Char Char,Footnote Text Char Char Char1,single space Char Char,ft Char Char,single space Char1,ft Char1,Footnote Text Char Char Char Char Char Char Char Char Char,f Char,FOOTNOTES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14925"/>
    <w:pPr>
      <w:spacing w:after="0" w:line="240" w:lineRule="auto"/>
    </w:pPr>
    <w:rPr>
      <w:rFonts w:ascii="Times New Roman" w:eastAsiaTheme="minorHAnsi" w:hAnsi="Times New Roman" w:cs="Times New Roman"/>
      <w:sz w:val="20"/>
      <w:szCs w:val="20"/>
      <w:lang w:eastAsia="en-US"/>
    </w:rPr>
  </w:style>
  <w:style w:type="character" w:customStyle="1" w:styleId="UnresolvedMention1">
    <w:name w:val="Unresolved Mention1"/>
    <w:basedOn w:val="DefaultParagraphFont"/>
    <w:uiPriority w:val="99"/>
    <w:semiHidden/>
    <w:unhideWhenUsed/>
    <w:rsid w:val="00F26F91"/>
    <w:rPr>
      <w:color w:val="605E5C"/>
      <w:shd w:val="clear" w:color="auto" w:fill="E1DFDD"/>
    </w:rPr>
  </w:style>
  <w:style w:type="character" w:styleId="CommentReference">
    <w:name w:val="annotation reference"/>
    <w:basedOn w:val="DefaultParagraphFont"/>
    <w:uiPriority w:val="99"/>
    <w:semiHidden/>
    <w:unhideWhenUsed/>
    <w:rsid w:val="001E41A2"/>
    <w:rPr>
      <w:sz w:val="16"/>
      <w:szCs w:val="16"/>
    </w:rPr>
  </w:style>
  <w:style w:type="paragraph" w:styleId="CommentText">
    <w:name w:val="annotation text"/>
    <w:basedOn w:val="Normal"/>
    <w:link w:val="CommentTextChar"/>
    <w:uiPriority w:val="99"/>
    <w:unhideWhenUsed/>
    <w:rsid w:val="001E41A2"/>
    <w:pPr>
      <w:spacing w:line="240" w:lineRule="auto"/>
    </w:pPr>
  </w:style>
  <w:style w:type="character" w:customStyle="1" w:styleId="CommentTextChar">
    <w:name w:val="Comment Text Char"/>
    <w:basedOn w:val="DefaultParagraphFont"/>
    <w:link w:val="CommentText"/>
    <w:uiPriority w:val="99"/>
    <w:rsid w:val="001E41A2"/>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E41A2"/>
    <w:rPr>
      <w:b/>
      <w:bCs/>
    </w:rPr>
  </w:style>
  <w:style w:type="character" w:customStyle="1" w:styleId="CommentSubjectChar">
    <w:name w:val="Comment Subject Char"/>
    <w:basedOn w:val="CommentTextChar"/>
    <w:link w:val="CommentSubject"/>
    <w:uiPriority w:val="99"/>
    <w:semiHidden/>
    <w:rsid w:val="001E41A2"/>
    <w:rPr>
      <w:rFonts w:ascii="Times New Roman" w:eastAsiaTheme="minorHAnsi" w:hAnsi="Times New Roman" w:cs="Times New Roman"/>
      <w:b/>
      <w:bCs/>
      <w:sz w:val="20"/>
      <w:szCs w:val="20"/>
      <w:lang w:eastAsia="en-US"/>
    </w:rPr>
  </w:style>
  <w:style w:type="paragraph" w:styleId="NormalWeb">
    <w:name w:val="Normal (Web)"/>
    <w:basedOn w:val="Normal"/>
    <w:uiPriority w:val="99"/>
    <w:semiHidden/>
    <w:unhideWhenUsed/>
    <w:rsid w:val="00DB1FA5"/>
    <w:rPr>
      <w:sz w:val="24"/>
      <w:szCs w:val="24"/>
    </w:rPr>
  </w:style>
  <w:style w:type="paragraph" w:styleId="ListParagraph">
    <w:name w:val="List Paragraph"/>
    <w:basedOn w:val="Normal"/>
    <w:uiPriority w:val="34"/>
    <w:qFormat/>
    <w:rsid w:val="00D315A9"/>
    <w:pPr>
      <w:suppressAutoHyphens w:val="0"/>
      <w:kinsoku/>
      <w:overflowPunct/>
      <w:autoSpaceDE/>
      <w:autoSpaceDN/>
      <w:adjustRightInd/>
      <w:snapToGrid/>
      <w:spacing w:line="240" w:lineRule="auto"/>
      <w:ind w:left="720"/>
      <w:contextualSpacing/>
    </w:pPr>
    <w:rPr>
      <w:rFonts w:asciiTheme="minorHAnsi" w:hAnsiTheme="minorHAnsi" w:cstheme="minorBidi"/>
      <w:sz w:val="24"/>
      <w:szCs w:val="24"/>
    </w:rPr>
  </w:style>
  <w:style w:type="character" w:customStyle="1" w:styleId="UnresolvedMention2">
    <w:name w:val="Unresolved Mention2"/>
    <w:basedOn w:val="DefaultParagraphFont"/>
    <w:uiPriority w:val="99"/>
    <w:semiHidden/>
    <w:unhideWhenUsed/>
    <w:rsid w:val="007813B0"/>
    <w:rPr>
      <w:color w:val="605E5C"/>
      <w:shd w:val="clear" w:color="auto" w:fill="E1DFDD"/>
    </w:rPr>
  </w:style>
  <w:style w:type="paragraph" w:styleId="Caption">
    <w:name w:val="caption"/>
    <w:basedOn w:val="Normal"/>
    <w:next w:val="Normal"/>
    <w:uiPriority w:val="35"/>
    <w:unhideWhenUsed/>
    <w:qFormat/>
    <w:rsid w:val="00ED34E2"/>
    <w:pPr>
      <w:spacing w:after="200" w:line="240" w:lineRule="auto"/>
    </w:pPr>
    <w:rPr>
      <w:i/>
      <w:iCs/>
      <w:color w:val="1F497D" w:themeColor="text2"/>
      <w:sz w:val="18"/>
      <w:szCs w:val="18"/>
    </w:rPr>
  </w:style>
  <w:style w:type="character" w:customStyle="1" w:styleId="SingleTxtGChar">
    <w:name w:val="_ Single Txt_G Char"/>
    <w:link w:val="SingleTxtG"/>
    <w:rsid w:val="00C677D5"/>
    <w:rPr>
      <w:rFonts w:ascii="Times New Roman" w:eastAsiaTheme="minorHAnsi" w:hAnsi="Times New Roman" w:cs="Times New Roman"/>
      <w:sz w:val="20"/>
      <w:szCs w:val="20"/>
      <w:lang w:eastAsia="en-US"/>
    </w:rPr>
  </w:style>
  <w:style w:type="character" w:customStyle="1" w:styleId="NoneB">
    <w:name w:val="None B"/>
    <w:rsid w:val="00C677D5"/>
    <w:rPr>
      <w:lang w:val="en-US"/>
    </w:rPr>
  </w:style>
  <w:style w:type="character" w:customStyle="1" w:styleId="UnresolvedMention3">
    <w:name w:val="Unresolved Mention3"/>
    <w:basedOn w:val="DefaultParagraphFont"/>
    <w:uiPriority w:val="99"/>
    <w:semiHidden/>
    <w:unhideWhenUsed/>
    <w:rsid w:val="00423304"/>
    <w:rPr>
      <w:color w:val="605E5C"/>
      <w:shd w:val="clear" w:color="auto" w:fill="E1DFDD"/>
    </w:rPr>
  </w:style>
  <w:style w:type="paragraph" w:customStyle="1" w:styleId="SingleTxt">
    <w:name w:val="__Single Txt"/>
    <w:basedOn w:val="Normal"/>
    <w:rsid w:val="0065586E"/>
    <w:pPr>
      <w:numPr>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kinsoku/>
      <w:overflowPunct/>
      <w:autoSpaceDE/>
      <w:autoSpaceDN/>
      <w:adjustRightInd/>
      <w:snapToGrid/>
      <w:spacing w:after="120"/>
      <w:ind w:right="1267"/>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007">
      <w:bodyDiv w:val="1"/>
      <w:marLeft w:val="0"/>
      <w:marRight w:val="0"/>
      <w:marTop w:val="0"/>
      <w:marBottom w:val="0"/>
      <w:divBdr>
        <w:top w:val="none" w:sz="0" w:space="0" w:color="auto"/>
        <w:left w:val="none" w:sz="0" w:space="0" w:color="auto"/>
        <w:bottom w:val="none" w:sz="0" w:space="0" w:color="auto"/>
        <w:right w:val="none" w:sz="0" w:space="0" w:color="auto"/>
      </w:divBdr>
    </w:div>
    <w:div w:id="176702039">
      <w:bodyDiv w:val="1"/>
      <w:marLeft w:val="0"/>
      <w:marRight w:val="0"/>
      <w:marTop w:val="0"/>
      <w:marBottom w:val="0"/>
      <w:divBdr>
        <w:top w:val="none" w:sz="0" w:space="0" w:color="auto"/>
        <w:left w:val="none" w:sz="0" w:space="0" w:color="auto"/>
        <w:bottom w:val="none" w:sz="0" w:space="0" w:color="auto"/>
        <w:right w:val="none" w:sz="0" w:space="0" w:color="auto"/>
      </w:divBdr>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86856865">
      <w:bodyDiv w:val="1"/>
      <w:marLeft w:val="0"/>
      <w:marRight w:val="0"/>
      <w:marTop w:val="0"/>
      <w:marBottom w:val="0"/>
      <w:divBdr>
        <w:top w:val="none" w:sz="0" w:space="0" w:color="auto"/>
        <w:left w:val="none" w:sz="0" w:space="0" w:color="auto"/>
        <w:bottom w:val="none" w:sz="0" w:space="0" w:color="auto"/>
        <w:right w:val="none" w:sz="0" w:space="0" w:color="auto"/>
      </w:divBdr>
    </w:div>
    <w:div w:id="510534939">
      <w:bodyDiv w:val="1"/>
      <w:marLeft w:val="0"/>
      <w:marRight w:val="0"/>
      <w:marTop w:val="0"/>
      <w:marBottom w:val="0"/>
      <w:divBdr>
        <w:top w:val="none" w:sz="0" w:space="0" w:color="auto"/>
        <w:left w:val="none" w:sz="0" w:space="0" w:color="auto"/>
        <w:bottom w:val="none" w:sz="0" w:space="0" w:color="auto"/>
        <w:right w:val="none" w:sz="0" w:space="0" w:color="auto"/>
      </w:divBdr>
    </w:div>
    <w:div w:id="602151990">
      <w:bodyDiv w:val="1"/>
      <w:marLeft w:val="0"/>
      <w:marRight w:val="0"/>
      <w:marTop w:val="0"/>
      <w:marBottom w:val="0"/>
      <w:divBdr>
        <w:top w:val="none" w:sz="0" w:space="0" w:color="auto"/>
        <w:left w:val="none" w:sz="0" w:space="0" w:color="auto"/>
        <w:bottom w:val="none" w:sz="0" w:space="0" w:color="auto"/>
        <w:right w:val="none" w:sz="0" w:space="0" w:color="auto"/>
      </w:divBdr>
    </w:div>
    <w:div w:id="767118772">
      <w:bodyDiv w:val="1"/>
      <w:marLeft w:val="0"/>
      <w:marRight w:val="0"/>
      <w:marTop w:val="0"/>
      <w:marBottom w:val="0"/>
      <w:divBdr>
        <w:top w:val="none" w:sz="0" w:space="0" w:color="auto"/>
        <w:left w:val="none" w:sz="0" w:space="0" w:color="auto"/>
        <w:bottom w:val="none" w:sz="0" w:space="0" w:color="auto"/>
        <w:right w:val="none" w:sz="0" w:space="0" w:color="auto"/>
      </w:divBdr>
      <w:divsChild>
        <w:div w:id="1319723459">
          <w:marLeft w:val="0"/>
          <w:marRight w:val="0"/>
          <w:marTop w:val="0"/>
          <w:marBottom w:val="0"/>
          <w:divBdr>
            <w:top w:val="none" w:sz="0" w:space="0" w:color="auto"/>
            <w:left w:val="none" w:sz="0" w:space="0" w:color="auto"/>
            <w:bottom w:val="none" w:sz="0" w:space="0" w:color="auto"/>
            <w:right w:val="none" w:sz="0" w:space="0" w:color="auto"/>
          </w:divBdr>
          <w:divsChild>
            <w:div w:id="118037551">
              <w:marLeft w:val="0"/>
              <w:marRight w:val="0"/>
              <w:marTop w:val="0"/>
              <w:marBottom w:val="0"/>
              <w:divBdr>
                <w:top w:val="none" w:sz="0" w:space="0" w:color="auto"/>
                <w:left w:val="none" w:sz="0" w:space="0" w:color="auto"/>
                <w:bottom w:val="none" w:sz="0" w:space="0" w:color="auto"/>
                <w:right w:val="none" w:sz="0" w:space="0" w:color="auto"/>
              </w:divBdr>
              <w:divsChild>
                <w:div w:id="332533698">
                  <w:marLeft w:val="0"/>
                  <w:marRight w:val="0"/>
                  <w:marTop w:val="0"/>
                  <w:marBottom w:val="0"/>
                  <w:divBdr>
                    <w:top w:val="none" w:sz="0" w:space="0" w:color="auto"/>
                    <w:left w:val="none" w:sz="0" w:space="0" w:color="auto"/>
                    <w:bottom w:val="none" w:sz="0" w:space="0" w:color="auto"/>
                    <w:right w:val="none" w:sz="0" w:space="0" w:color="auto"/>
                  </w:divBdr>
                  <w:divsChild>
                    <w:div w:id="20843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59987">
      <w:bodyDiv w:val="1"/>
      <w:marLeft w:val="0"/>
      <w:marRight w:val="0"/>
      <w:marTop w:val="0"/>
      <w:marBottom w:val="0"/>
      <w:divBdr>
        <w:top w:val="none" w:sz="0" w:space="0" w:color="auto"/>
        <w:left w:val="none" w:sz="0" w:space="0" w:color="auto"/>
        <w:bottom w:val="none" w:sz="0" w:space="0" w:color="auto"/>
        <w:right w:val="none" w:sz="0" w:space="0" w:color="auto"/>
      </w:divBdr>
      <w:divsChild>
        <w:div w:id="820539636">
          <w:marLeft w:val="0"/>
          <w:marRight w:val="0"/>
          <w:marTop w:val="0"/>
          <w:marBottom w:val="0"/>
          <w:divBdr>
            <w:top w:val="none" w:sz="0" w:space="0" w:color="auto"/>
            <w:left w:val="none" w:sz="0" w:space="0" w:color="auto"/>
            <w:bottom w:val="none" w:sz="0" w:space="0" w:color="auto"/>
            <w:right w:val="none" w:sz="0" w:space="0" w:color="auto"/>
          </w:divBdr>
          <w:divsChild>
            <w:div w:id="662657995">
              <w:marLeft w:val="0"/>
              <w:marRight w:val="0"/>
              <w:marTop w:val="0"/>
              <w:marBottom w:val="0"/>
              <w:divBdr>
                <w:top w:val="none" w:sz="0" w:space="0" w:color="auto"/>
                <w:left w:val="none" w:sz="0" w:space="0" w:color="auto"/>
                <w:bottom w:val="none" w:sz="0" w:space="0" w:color="auto"/>
                <w:right w:val="none" w:sz="0" w:space="0" w:color="auto"/>
              </w:divBdr>
              <w:divsChild>
                <w:div w:id="1957054777">
                  <w:marLeft w:val="0"/>
                  <w:marRight w:val="0"/>
                  <w:marTop w:val="0"/>
                  <w:marBottom w:val="0"/>
                  <w:divBdr>
                    <w:top w:val="none" w:sz="0" w:space="0" w:color="auto"/>
                    <w:left w:val="none" w:sz="0" w:space="0" w:color="auto"/>
                    <w:bottom w:val="none" w:sz="0" w:space="0" w:color="auto"/>
                    <w:right w:val="none" w:sz="0" w:space="0" w:color="auto"/>
                  </w:divBdr>
                  <w:divsChild>
                    <w:div w:id="7853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5022">
      <w:bodyDiv w:val="1"/>
      <w:marLeft w:val="0"/>
      <w:marRight w:val="0"/>
      <w:marTop w:val="0"/>
      <w:marBottom w:val="0"/>
      <w:divBdr>
        <w:top w:val="none" w:sz="0" w:space="0" w:color="auto"/>
        <w:left w:val="none" w:sz="0" w:space="0" w:color="auto"/>
        <w:bottom w:val="none" w:sz="0" w:space="0" w:color="auto"/>
        <w:right w:val="none" w:sz="0" w:space="0" w:color="auto"/>
      </w:divBdr>
    </w:div>
    <w:div w:id="1835148765">
      <w:bodyDiv w:val="1"/>
      <w:marLeft w:val="0"/>
      <w:marRight w:val="0"/>
      <w:marTop w:val="0"/>
      <w:marBottom w:val="0"/>
      <w:divBdr>
        <w:top w:val="none" w:sz="0" w:space="0" w:color="auto"/>
        <w:left w:val="none" w:sz="0" w:space="0" w:color="auto"/>
        <w:bottom w:val="none" w:sz="0" w:space="0" w:color="auto"/>
        <w:right w:val="none" w:sz="0" w:space="0" w:color="auto"/>
      </w:divBdr>
      <w:divsChild>
        <w:div w:id="876357617">
          <w:marLeft w:val="0"/>
          <w:marRight w:val="0"/>
          <w:marTop w:val="120"/>
          <w:marBottom w:val="0"/>
          <w:divBdr>
            <w:top w:val="none" w:sz="0" w:space="0" w:color="auto"/>
            <w:left w:val="none" w:sz="0" w:space="0" w:color="auto"/>
            <w:bottom w:val="none" w:sz="0" w:space="0" w:color="auto"/>
            <w:right w:val="none" w:sz="0" w:space="0" w:color="auto"/>
          </w:divBdr>
          <w:divsChild>
            <w:div w:id="1485463426">
              <w:marLeft w:val="0"/>
              <w:marRight w:val="0"/>
              <w:marTop w:val="0"/>
              <w:marBottom w:val="0"/>
              <w:divBdr>
                <w:top w:val="none" w:sz="0" w:space="0" w:color="auto"/>
                <w:left w:val="none" w:sz="0" w:space="0" w:color="auto"/>
                <w:bottom w:val="none" w:sz="0" w:space="0" w:color="auto"/>
                <w:right w:val="none" w:sz="0" w:space="0" w:color="auto"/>
              </w:divBdr>
            </w:div>
          </w:divsChild>
        </w:div>
        <w:div w:id="373651852">
          <w:marLeft w:val="0"/>
          <w:marRight w:val="0"/>
          <w:marTop w:val="120"/>
          <w:marBottom w:val="0"/>
          <w:divBdr>
            <w:top w:val="none" w:sz="0" w:space="0" w:color="auto"/>
            <w:left w:val="none" w:sz="0" w:space="0" w:color="auto"/>
            <w:bottom w:val="none" w:sz="0" w:space="0" w:color="auto"/>
            <w:right w:val="none" w:sz="0" w:space="0" w:color="auto"/>
          </w:divBdr>
          <w:divsChild>
            <w:div w:id="1240094209">
              <w:marLeft w:val="0"/>
              <w:marRight w:val="0"/>
              <w:marTop w:val="0"/>
              <w:marBottom w:val="0"/>
              <w:divBdr>
                <w:top w:val="none" w:sz="0" w:space="0" w:color="auto"/>
                <w:left w:val="none" w:sz="0" w:space="0" w:color="auto"/>
                <w:bottom w:val="none" w:sz="0" w:space="0" w:color="auto"/>
                <w:right w:val="none" w:sz="0" w:space="0" w:color="auto"/>
              </w:divBdr>
            </w:div>
          </w:divsChild>
        </w:div>
        <w:div w:id="490559376">
          <w:marLeft w:val="0"/>
          <w:marRight w:val="0"/>
          <w:marTop w:val="120"/>
          <w:marBottom w:val="0"/>
          <w:divBdr>
            <w:top w:val="none" w:sz="0" w:space="0" w:color="auto"/>
            <w:left w:val="none" w:sz="0" w:space="0" w:color="auto"/>
            <w:bottom w:val="none" w:sz="0" w:space="0" w:color="auto"/>
            <w:right w:val="none" w:sz="0" w:space="0" w:color="auto"/>
          </w:divBdr>
          <w:divsChild>
            <w:div w:id="594901612">
              <w:marLeft w:val="0"/>
              <w:marRight w:val="0"/>
              <w:marTop w:val="0"/>
              <w:marBottom w:val="0"/>
              <w:divBdr>
                <w:top w:val="none" w:sz="0" w:space="0" w:color="auto"/>
                <w:left w:val="none" w:sz="0" w:space="0" w:color="auto"/>
                <w:bottom w:val="none" w:sz="0" w:space="0" w:color="auto"/>
                <w:right w:val="none" w:sz="0" w:space="0" w:color="auto"/>
              </w:divBdr>
            </w:div>
          </w:divsChild>
        </w:div>
        <w:div w:id="479229812">
          <w:marLeft w:val="0"/>
          <w:marRight w:val="0"/>
          <w:marTop w:val="120"/>
          <w:marBottom w:val="0"/>
          <w:divBdr>
            <w:top w:val="none" w:sz="0" w:space="0" w:color="auto"/>
            <w:left w:val="none" w:sz="0" w:space="0" w:color="auto"/>
            <w:bottom w:val="none" w:sz="0" w:space="0" w:color="auto"/>
            <w:right w:val="none" w:sz="0" w:space="0" w:color="auto"/>
          </w:divBdr>
          <w:divsChild>
            <w:div w:id="1186401572">
              <w:marLeft w:val="0"/>
              <w:marRight w:val="0"/>
              <w:marTop w:val="0"/>
              <w:marBottom w:val="0"/>
              <w:divBdr>
                <w:top w:val="none" w:sz="0" w:space="0" w:color="auto"/>
                <w:left w:val="none" w:sz="0" w:space="0" w:color="auto"/>
                <w:bottom w:val="none" w:sz="0" w:space="0" w:color="auto"/>
                <w:right w:val="none" w:sz="0" w:space="0" w:color="auto"/>
              </w:divBdr>
            </w:div>
          </w:divsChild>
        </w:div>
        <w:div w:id="264920043">
          <w:marLeft w:val="0"/>
          <w:marRight w:val="0"/>
          <w:marTop w:val="120"/>
          <w:marBottom w:val="0"/>
          <w:divBdr>
            <w:top w:val="none" w:sz="0" w:space="0" w:color="auto"/>
            <w:left w:val="none" w:sz="0" w:space="0" w:color="auto"/>
            <w:bottom w:val="none" w:sz="0" w:space="0" w:color="auto"/>
            <w:right w:val="none" w:sz="0" w:space="0" w:color="auto"/>
          </w:divBdr>
          <w:divsChild>
            <w:div w:id="1539776021">
              <w:marLeft w:val="0"/>
              <w:marRight w:val="0"/>
              <w:marTop w:val="0"/>
              <w:marBottom w:val="0"/>
              <w:divBdr>
                <w:top w:val="none" w:sz="0" w:space="0" w:color="auto"/>
                <w:left w:val="none" w:sz="0" w:space="0" w:color="auto"/>
                <w:bottom w:val="none" w:sz="0" w:space="0" w:color="auto"/>
                <w:right w:val="none" w:sz="0" w:space="0" w:color="auto"/>
              </w:divBdr>
            </w:div>
          </w:divsChild>
        </w:div>
        <w:div w:id="1811705044">
          <w:marLeft w:val="0"/>
          <w:marRight w:val="0"/>
          <w:marTop w:val="120"/>
          <w:marBottom w:val="0"/>
          <w:divBdr>
            <w:top w:val="none" w:sz="0" w:space="0" w:color="auto"/>
            <w:left w:val="none" w:sz="0" w:space="0" w:color="auto"/>
            <w:bottom w:val="none" w:sz="0" w:space="0" w:color="auto"/>
            <w:right w:val="none" w:sz="0" w:space="0" w:color="auto"/>
          </w:divBdr>
          <w:divsChild>
            <w:div w:id="1755856172">
              <w:marLeft w:val="0"/>
              <w:marRight w:val="0"/>
              <w:marTop w:val="0"/>
              <w:marBottom w:val="0"/>
              <w:divBdr>
                <w:top w:val="none" w:sz="0" w:space="0" w:color="auto"/>
                <w:left w:val="none" w:sz="0" w:space="0" w:color="auto"/>
                <w:bottom w:val="none" w:sz="0" w:space="0" w:color="auto"/>
                <w:right w:val="none" w:sz="0" w:space="0" w:color="auto"/>
              </w:divBdr>
            </w:div>
          </w:divsChild>
        </w:div>
        <w:div w:id="1898009223">
          <w:marLeft w:val="0"/>
          <w:marRight w:val="0"/>
          <w:marTop w:val="120"/>
          <w:marBottom w:val="0"/>
          <w:divBdr>
            <w:top w:val="none" w:sz="0" w:space="0" w:color="auto"/>
            <w:left w:val="none" w:sz="0" w:space="0" w:color="auto"/>
            <w:bottom w:val="none" w:sz="0" w:space="0" w:color="auto"/>
            <w:right w:val="none" w:sz="0" w:space="0" w:color="auto"/>
          </w:divBdr>
          <w:divsChild>
            <w:div w:id="711542668">
              <w:marLeft w:val="0"/>
              <w:marRight w:val="0"/>
              <w:marTop w:val="0"/>
              <w:marBottom w:val="0"/>
              <w:divBdr>
                <w:top w:val="none" w:sz="0" w:space="0" w:color="auto"/>
                <w:left w:val="none" w:sz="0" w:space="0" w:color="auto"/>
                <w:bottom w:val="none" w:sz="0" w:space="0" w:color="auto"/>
                <w:right w:val="none" w:sz="0" w:space="0" w:color="auto"/>
              </w:divBdr>
            </w:div>
          </w:divsChild>
        </w:div>
        <w:div w:id="1101880193">
          <w:marLeft w:val="0"/>
          <w:marRight w:val="0"/>
          <w:marTop w:val="120"/>
          <w:marBottom w:val="0"/>
          <w:divBdr>
            <w:top w:val="none" w:sz="0" w:space="0" w:color="auto"/>
            <w:left w:val="none" w:sz="0" w:space="0" w:color="auto"/>
            <w:bottom w:val="none" w:sz="0" w:space="0" w:color="auto"/>
            <w:right w:val="none" w:sz="0" w:space="0" w:color="auto"/>
          </w:divBdr>
          <w:divsChild>
            <w:div w:id="933439272">
              <w:marLeft w:val="0"/>
              <w:marRight w:val="0"/>
              <w:marTop w:val="0"/>
              <w:marBottom w:val="0"/>
              <w:divBdr>
                <w:top w:val="none" w:sz="0" w:space="0" w:color="auto"/>
                <w:left w:val="none" w:sz="0" w:space="0" w:color="auto"/>
                <w:bottom w:val="none" w:sz="0" w:space="0" w:color="auto"/>
                <w:right w:val="none" w:sz="0" w:space="0" w:color="auto"/>
              </w:divBdr>
            </w:div>
          </w:divsChild>
        </w:div>
        <w:div w:id="1656568027">
          <w:marLeft w:val="0"/>
          <w:marRight w:val="0"/>
          <w:marTop w:val="120"/>
          <w:marBottom w:val="0"/>
          <w:divBdr>
            <w:top w:val="none" w:sz="0" w:space="0" w:color="auto"/>
            <w:left w:val="none" w:sz="0" w:space="0" w:color="auto"/>
            <w:bottom w:val="none" w:sz="0" w:space="0" w:color="auto"/>
            <w:right w:val="none" w:sz="0" w:space="0" w:color="auto"/>
          </w:divBdr>
          <w:divsChild>
            <w:div w:id="333535905">
              <w:marLeft w:val="0"/>
              <w:marRight w:val="0"/>
              <w:marTop w:val="0"/>
              <w:marBottom w:val="0"/>
              <w:divBdr>
                <w:top w:val="none" w:sz="0" w:space="0" w:color="auto"/>
                <w:left w:val="none" w:sz="0" w:space="0" w:color="auto"/>
                <w:bottom w:val="none" w:sz="0" w:space="0" w:color="auto"/>
                <w:right w:val="none" w:sz="0" w:space="0" w:color="auto"/>
              </w:divBdr>
            </w:div>
          </w:divsChild>
        </w:div>
        <w:div w:id="522325294">
          <w:marLeft w:val="0"/>
          <w:marRight w:val="0"/>
          <w:marTop w:val="120"/>
          <w:marBottom w:val="0"/>
          <w:divBdr>
            <w:top w:val="none" w:sz="0" w:space="0" w:color="auto"/>
            <w:left w:val="none" w:sz="0" w:space="0" w:color="auto"/>
            <w:bottom w:val="none" w:sz="0" w:space="0" w:color="auto"/>
            <w:right w:val="none" w:sz="0" w:space="0" w:color="auto"/>
          </w:divBdr>
          <w:divsChild>
            <w:div w:id="847869247">
              <w:marLeft w:val="0"/>
              <w:marRight w:val="0"/>
              <w:marTop w:val="0"/>
              <w:marBottom w:val="0"/>
              <w:divBdr>
                <w:top w:val="none" w:sz="0" w:space="0" w:color="auto"/>
                <w:left w:val="none" w:sz="0" w:space="0" w:color="auto"/>
                <w:bottom w:val="none" w:sz="0" w:space="0" w:color="auto"/>
                <w:right w:val="none" w:sz="0" w:space="0" w:color="auto"/>
              </w:divBdr>
            </w:div>
          </w:divsChild>
        </w:div>
        <w:div w:id="2113475954">
          <w:marLeft w:val="0"/>
          <w:marRight w:val="0"/>
          <w:marTop w:val="120"/>
          <w:marBottom w:val="0"/>
          <w:divBdr>
            <w:top w:val="none" w:sz="0" w:space="0" w:color="auto"/>
            <w:left w:val="none" w:sz="0" w:space="0" w:color="auto"/>
            <w:bottom w:val="none" w:sz="0" w:space="0" w:color="auto"/>
            <w:right w:val="none" w:sz="0" w:space="0" w:color="auto"/>
          </w:divBdr>
          <w:divsChild>
            <w:div w:id="406729361">
              <w:marLeft w:val="0"/>
              <w:marRight w:val="0"/>
              <w:marTop w:val="0"/>
              <w:marBottom w:val="0"/>
              <w:divBdr>
                <w:top w:val="none" w:sz="0" w:space="0" w:color="auto"/>
                <w:left w:val="none" w:sz="0" w:space="0" w:color="auto"/>
                <w:bottom w:val="none" w:sz="0" w:space="0" w:color="auto"/>
                <w:right w:val="none" w:sz="0" w:space="0" w:color="auto"/>
              </w:divBdr>
            </w:div>
          </w:divsChild>
        </w:div>
        <w:div w:id="85464536">
          <w:marLeft w:val="0"/>
          <w:marRight w:val="0"/>
          <w:marTop w:val="120"/>
          <w:marBottom w:val="0"/>
          <w:divBdr>
            <w:top w:val="none" w:sz="0" w:space="0" w:color="auto"/>
            <w:left w:val="none" w:sz="0" w:space="0" w:color="auto"/>
            <w:bottom w:val="none" w:sz="0" w:space="0" w:color="auto"/>
            <w:right w:val="none" w:sz="0" w:space="0" w:color="auto"/>
          </w:divBdr>
          <w:divsChild>
            <w:div w:id="1230386303">
              <w:marLeft w:val="0"/>
              <w:marRight w:val="0"/>
              <w:marTop w:val="0"/>
              <w:marBottom w:val="0"/>
              <w:divBdr>
                <w:top w:val="none" w:sz="0" w:space="0" w:color="auto"/>
                <w:left w:val="none" w:sz="0" w:space="0" w:color="auto"/>
                <w:bottom w:val="none" w:sz="0" w:space="0" w:color="auto"/>
                <w:right w:val="none" w:sz="0" w:space="0" w:color="auto"/>
              </w:divBdr>
            </w:div>
          </w:divsChild>
        </w:div>
        <w:div w:id="494031687">
          <w:marLeft w:val="0"/>
          <w:marRight w:val="0"/>
          <w:marTop w:val="120"/>
          <w:marBottom w:val="0"/>
          <w:divBdr>
            <w:top w:val="none" w:sz="0" w:space="0" w:color="auto"/>
            <w:left w:val="none" w:sz="0" w:space="0" w:color="auto"/>
            <w:bottom w:val="none" w:sz="0" w:space="0" w:color="auto"/>
            <w:right w:val="none" w:sz="0" w:space="0" w:color="auto"/>
          </w:divBdr>
          <w:divsChild>
            <w:div w:id="109128170">
              <w:marLeft w:val="0"/>
              <w:marRight w:val="0"/>
              <w:marTop w:val="0"/>
              <w:marBottom w:val="0"/>
              <w:divBdr>
                <w:top w:val="none" w:sz="0" w:space="0" w:color="auto"/>
                <w:left w:val="none" w:sz="0" w:space="0" w:color="auto"/>
                <w:bottom w:val="none" w:sz="0" w:space="0" w:color="auto"/>
                <w:right w:val="none" w:sz="0" w:space="0" w:color="auto"/>
              </w:divBdr>
            </w:div>
          </w:divsChild>
        </w:div>
        <w:div w:id="944266573">
          <w:marLeft w:val="0"/>
          <w:marRight w:val="0"/>
          <w:marTop w:val="120"/>
          <w:marBottom w:val="0"/>
          <w:divBdr>
            <w:top w:val="none" w:sz="0" w:space="0" w:color="auto"/>
            <w:left w:val="none" w:sz="0" w:space="0" w:color="auto"/>
            <w:bottom w:val="none" w:sz="0" w:space="0" w:color="auto"/>
            <w:right w:val="none" w:sz="0" w:space="0" w:color="auto"/>
          </w:divBdr>
          <w:divsChild>
            <w:div w:id="1914775863">
              <w:marLeft w:val="0"/>
              <w:marRight w:val="0"/>
              <w:marTop w:val="0"/>
              <w:marBottom w:val="0"/>
              <w:divBdr>
                <w:top w:val="none" w:sz="0" w:space="0" w:color="auto"/>
                <w:left w:val="none" w:sz="0" w:space="0" w:color="auto"/>
                <w:bottom w:val="none" w:sz="0" w:space="0" w:color="auto"/>
                <w:right w:val="none" w:sz="0" w:space="0" w:color="auto"/>
              </w:divBdr>
            </w:div>
          </w:divsChild>
        </w:div>
        <w:div w:id="1072041086">
          <w:marLeft w:val="0"/>
          <w:marRight w:val="0"/>
          <w:marTop w:val="120"/>
          <w:marBottom w:val="0"/>
          <w:divBdr>
            <w:top w:val="none" w:sz="0" w:space="0" w:color="auto"/>
            <w:left w:val="none" w:sz="0" w:space="0" w:color="auto"/>
            <w:bottom w:val="none" w:sz="0" w:space="0" w:color="auto"/>
            <w:right w:val="none" w:sz="0" w:space="0" w:color="auto"/>
          </w:divBdr>
          <w:divsChild>
            <w:div w:id="2060782981">
              <w:marLeft w:val="0"/>
              <w:marRight w:val="0"/>
              <w:marTop w:val="0"/>
              <w:marBottom w:val="0"/>
              <w:divBdr>
                <w:top w:val="none" w:sz="0" w:space="0" w:color="auto"/>
                <w:left w:val="none" w:sz="0" w:space="0" w:color="auto"/>
                <w:bottom w:val="none" w:sz="0" w:space="0" w:color="auto"/>
                <w:right w:val="none" w:sz="0" w:space="0" w:color="auto"/>
              </w:divBdr>
            </w:div>
          </w:divsChild>
        </w:div>
        <w:div w:id="55789522">
          <w:marLeft w:val="0"/>
          <w:marRight w:val="0"/>
          <w:marTop w:val="120"/>
          <w:marBottom w:val="0"/>
          <w:divBdr>
            <w:top w:val="none" w:sz="0" w:space="0" w:color="auto"/>
            <w:left w:val="none" w:sz="0" w:space="0" w:color="auto"/>
            <w:bottom w:val="none" w:sz="0" w:space="0" w:color="auto"/>
            <w:right w:val="none" w:sz="0" w:space="0" w:color="auto"/>
          </w:divBdr>
          <w:divsChild>
            <w:div w:id="11119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jerusalemdeclaration.org/" TargetMode="External"/><Relationship Id="rId13" Type="http://schemas.openxmlformats.org/officeDocument/2006/relationships/hyperlink" Target="https://spcommreports.ohchr.org/Tmsearch/TMDocuments" TargetMode="External"/><Relationship Id="rId18" Type="http://schemas.openxmlformats.org/officeDocument/2006/relationships/hyperlink" Target="https://drive.google.com/file/d/1nfnmySTnxuwTBVf4kIC0GtJ9ykuIcwhd/view" TargetMode="External"/><Relationship Id="rId3" Type="http://schemas.openxmlformats.org/officeDocument/2006/relationships/hyperlink" Target="https://undocs.org/Home/Mobile?FinalSymbol=A%2F75%2F329&amp;Language=E&amp;DeviceType=Desktop&amp;LangRequested=False" TargetMode="External"/><Relationship Id="rId7" Type="http://schemas.openxmlformats.org/officeDocument/2006/relationships/hyperlink" Target="https://s3.eu-central-1.amazonaws.com/euobs-media/b7602129dc4791bd47267b593f517caa.pdf" TargetMode="External"/><Relationship Id="rId12" Type="http://schemas.openxmlformats.org/officeDocument/2006/relationships/hyperlink" Target="https://elsc.support/cases/berlin-court-finds-deutsche-welle-unlawfully-dismissed-journalist-farah-maraqa" TargetMode="External"/><Relationship Id="rId17" Type="http://schemas.openxmlformats.org/officeDocument/2006/relationships/hyperlink" Target="https://www.972mag.com/zionism-germany-antisemitism" TargetMode="External"/><Relationship Id="rId2" Type="http://schemas.openxmlformats.org/officeDocument/2006/relationships/hyperlink" Target="https://undocs.org/Home/Mobile?FinalSymbol=A%2FHRC%2F41%2F55&amp;Language=E&amp;DeviceType=Desktop&amp;LangRequested=False" TargetMode="External"/><Relationship Id="rId16" Type="http://schemas.openxmlformats.org/officeDocument/2006/relationships/hyperlink" Target="https://www.juedische-stimme.de/2019/01/13/the-jewish-voice-does-not-need-a-kosher-certificate" TargetMode="External"/><Relationship Id="rId1" Type="http://schemas.openxmlformats.org/officeDocument/2006/relationships/hyperlink" Target="https://undocs.org/Home/Mobile?FinalSymbol=A%2FHRC%2F38%2F53&amp;Language=E&amp;DeviceType=Desktop&amp;LangRequested=False" TargetMode="External"/><Relationship Id="rId6" Type="http://schemas.openxmlformats.org/officeDocument/2006/relationships/hyperlink" Target="https://ec.europa.eu/info/law/better-regulation/have-your-say/initiatives/13068-Strategy-on-combating-antisemitism-and-fostering-Jewish-life-in-the-EU/F2661357_en" TargetMode="External"/><Relationship Id="rId11" Type="http://schemas.openxmlformats.org/officeDocument/2006/relationships/hyperlink" Target="https://www.ijvcanada.org/ihra-definition-at-work/" TargetMode="External"/><Relationship Id="rId5" Type="http://schemas.openxmlformats.org/officeDocument/2006/relationships/hyperlink" Target="https://blogs.timesofisrael.com/whos-against-adopting-the-ihra-antisemitism-definition" TargetMode="External"/><Relationship Id="rId15" Type="http://schemas.openxmlformats.org/officeDocument/2006/relationships/hyperlink" Target="https://www.jewishvoiceforpeace.org/2018/07/first-ever-40-jewish-groups-worldwide-oppose-equating-antisemitism-with-criticism-of-israel/" TargetMode="External"/><Relationship Id="rId10" Type="http://schemas.openxmlformats.org/officeDocument/2006/relationships/hyperlink" Target="https://palestinelegal.org/redefinition-efforts" TargetMode="External"/><Relationship Id="rId4" Type="http://schemas.openxmlformats.org/officeDocument/2006/relationships/hyperlink" Target="https://undocs.org/Home/Mobile?FinalSymbol=A%2FHRC%2F50%2F61&amp;Language=E&amp;DeviceType=Desktop&amp;LangRequested=False" TargetMode="External"/><Relationship Id="rId9" Type="http://schemas.openxmlformats.org/officeDocument/2006/relationships/hyperlink" Target="https://papers.ssrn.com/sol3/papers.cfm?abstract_id=3178109" TargetMode="External"/><Relationship Id="rId14" Type="http://schemas.openxmlformats.org/officeDocument/2006/relationships/hyperlink" Target="https://www.theguardian.com/commentisfree/2019/dec/13/antisemitism-executive-order-trump-chilling-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2F048F6452148A50C1FA94B1DDBE8" ma:contentTypeVersion="4" ma:contentTypeDescription="Create a new document." ma:contentTypeScope="" ma:versionID="f65758d9bf1cfb0ef583e8a530725453">
  <xsd:schema xmlns:xsd="http://www.w3.org/2001/XMLSchema" xmlns:xs="http://www.w3.org/2001/XMLSchema" xmlns:p="http://schemas.microsoft.com/office/2006/metadata/properties" xmlns:ns2="6c33773d-66ed-4bf1-ab60-0ae20b1c302d" targetNamespace="http://schemas.microsoft.com/office/2006/metadata/properties" ma:root="true" ma:fieldsID="910f7b8924447a374e31b883ac5d0d60" ns2:_="">
    <xsd:import namespace="6c33773d-66ed-4bf1-ab60-0ae20b1c3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73d-66ed-4bf1-ab60-0ae20b1c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066BE-1788-4A4F-8302-99AF0F7B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73d-66ed-4bf1-ab60-0ae20b1c3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F67E7-1CB1-474F-8020-C9172D34C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CFC3E-67B7-4B9F-BC89-FD765587B720}">
  <ds:schemaRefs>
    <ds:schemaRef ds:uri="http://schemas.microsoft.com/sharepoint/v3/contenttype/forms"/>
  </ds:schemaRefs>
</ds:datastoreItem>
</file>

<file path=customXml/itemProps4.xml><?xml version="1.0" encoding="utf-8"?>
<ds:datastoreItem xmlns:ds="http://schemas.openxmlformats.org/officeDocument/2006/customXml" ds:itemID="{1C0836C7-971E-456A-AB9F-C35C6786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9296</Words>
  <Characters>52989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A/HRC/47/26</vt:lpstr>
    </vt:vector>
  </TitlesOfParts>
  <Company>DCM</Company>
  <LinksUpToDate>false</LinksUpToDate>
  <CharactersWithSpaces>62161</CharactersWithSpaces>
  <SharedDoc>false</SharedDoc>
  <HLinks>
    <vt:vector size="18" baseType="variant">
      <vt:variant>
        <vt:i4>1441802</vt:i4>
      </vt:variant>
      <vt:variant>
        <vt:i4>6</vt:i4>
      </vt:variant>
      <vt:variant>
        <vt:i4>0</vt:i4>
      </vt:variant>
      <vt:variant>
        <vt:i4>5</vt:i4>
      </vt:variant>
      <vt:variant>
        <vt:lpwstr>http://www.ohchr.org/EN/Issues/Women/SRWomen/Pages/SRVAW.aspx</vt:lpwstr>
      </vt:variant>
      <vt:variant>
        <vt:lpwstr/>
      </vt:variant>
      <vt:variant>
        <vt:i4>1441802</vt:i4>
      </vt:variant>
      <vt:variant>
        <vt:i4>3</vt:i4>
      </vt:variant>
      <vt:variant>
        <vt:i4>0</vt:i4>
      </vt:variant>
      <vt:variant>
        <vt:i4>5</vt:i4>
      </vt:variant>
      <vt:variant>
        <vt:lpwstr>http://www.ohchr.org/EN/Issues/Women/SRWomen/Pages/SRVAW.aspx</vt:lpwstr>
      </vt:variant>
      <vt:variant>
        <vt:lpwstr/>
      </vt:variant>
      <vt:variant>
        <vt:i4>2883691</vt:i4>
      </vt:variant>
      <vt:variant>
        <vt:i4>0</vt:i4>
      </vt:variant>
      <vt:variant>
        <vt:i4>0</vt:i4>
      </vt:variant>
      <vt:variant>
        <vt:i4>5</vt:i4>
      </vt:variant>
      <vt:variant>
        <vt:lpwstr>http://www.ohchr.org/Documents/Issues/Women/SR/Call_on_Rape/EGM_EN-SR_Report.pdf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A/HRC/47/26</dc:title>
  <dc:subject>2105162</dc:subject>
  <dc:creator>An Cuypers</dc:creator>
  <cp:keywords/>
  <dc:description/>
  <cp:lastModifiedBy>Richard Kuper</cp:lastModifiedBy>
  <cp:revision>2</cp:revision>
  <cp:lastPrinted>2022-03-31T08:18:00Z</cp:lastPrinted>
  <dcterms:created xsi:type="dcterms:W3CDTF">2022-11-05T15:10:00Z</dcterms:created>
  <dcterms:modified xsi:type="dcterms:W3CDTF">2022-11-05T15:10:00Z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0x0101009742F048F6452148A50C1FA94B1DDBE8</vt:lpwstr>
  </property>
</Properties>
</file>